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244" w:right="1252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Argentina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-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Poder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Ejecutivo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Nacional</w:t>
      </w:r>
    </w:p>
    <w:p>
      <w:pPr>
        <w:spacing w:before="39"/>
        <w:ind w:left="1244" w:right="1252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2021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Año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Homenaje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al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Premio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Nobel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Medicina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Dr.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César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Milstein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180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firma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conjunta</w:t>
      </w:r>
      <w:r>
        <w:rPr>
          <w:rFonts w:ascii="Times New Roman" w:hAnsi="Times New Roman"/>
          <w:b/>
          <w:spacing w:val="-52"/>
          <w:sz w:val="22"/>
        </w:rPr>
        <w:t> </w:t>
      </w:r>
      <w:r>
        <w:rPr>
          <w:rFonts w:ascii="Times New Roman" w:hAnsi="Times New Roman"/>
          <w:b/>
          <w:sz w:val="22"/>
        </w:rPr>
        <w:t>Número:</w:t>
      </w:r>
      <w:r>
        <w:rPr>
          <w:rFonts w:ascii="Times New Roman" w:hAnsi="Times New Roman"/>
          <w:b/>
          <w:spacing w:val="41"/>
          <w:sz w:val="22"/>
        </w:rPr>
        <w:t> </w:t>
      </w:r>
      <w:r>
        <w:rPr>
          <w:rFonts w:ascii="Times New Roman" w:hAnsi="Times New Roman"/>
          <w:sz w:val="22"/>
        </w:rPr>
        <w:t>RESFC-2021-998-APN-DI#INAES</w:t>
      </w:r>
    </w:p>
    <w:p>
      <w:pPr>
        <w:spacing w:before="37"/>
        <w:ind w:left="0" w:right="147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0" w:right="148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Martes 29 de Junio de 2021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line="276" w:lineRule="auto" w:before="95"/>
        <w:ind w:left="100" w:right="0" w:firstLine="0"/>
        <w:jc w:val="left"/>
        <w:rPr>
          <w:rFonts w:ascii="Times New Roman" w:hAnsi="Times New Roman"/>
          <w:sz w:val="22"/>
        </w:rPr>
      </w:pPr>
      <w:r>
        <w:rPr/>
        <w:pict>
          <v:group style="position:absolute;margin-left:60pt;margin-top:39.369530pt;width:514.5pt;height:1.5pt;mso-position-horizontal-relative:page;mso-position-vertical-relative:paragraph;z-index:-15728640;mso-wrap-distance-left:0;mso-wrap-distance-right:0" coordorigin="1200,787" coordsize="10290,30">
            <v:shape style="position:absolute;left:1200;top:787;width:10290;height:15" coordorigin="1200,787" coordsize="10290,15" path="m11490,787l1200,787,1208,795,1215,802,11475,802,11483,795,11490,787xe" filled="true" fillcolor="#7f7d78" stroked="false">
              <v:path arrowok="t"/>
              <v:fill type="solid"/>
            </v:shape>
            <v:shape style="position:absolute;left:1200;top:787;width:10290;height:30" coordorigin="1200,787" coordsize="10290,30" path="m11490,787l11483,795,11475,802,1215,802,1208,810,1200,817,11490,817,11490,787xe" filled="true" fillcolor="#d3d0c7" stroked="false">
              <v:path arrowok="t"/>
              <v:fill type="solid"/>
            </v:shape>
            <v:shape style="position:absolute;left:1200;top:787;width:15;height:30" coordorigin="1200,787" coordsize="15,30" path="m1215,802l1208,795,1200,787,1200,817,1208,810,1215,802xe" filled="true" fillcolor="#7f7d78" stroked="false">
              <v:path arrowok="t"/>
              <v:fill type="solid"/>
            </v:shape>
            <w10:wrap type="topAndBottom"/>
          </v:group>
        </w:pict>
      </w:r>
      <w:r>
        <w:rPr>
          <w:rFonts w:ascii="Times New Roman" w:hAnsi="Times New Roman"/>
          <w:b/>
          <w:sz w:val="22"/>
        </w:rPr>
        <w:t>Referencia:</w:t>
      </w:r>
      <w:r>
        <w:rPr>
          <w:rFonts w:ascii="Times New Roman" w:hAnsi="Times New Roman"/>
          <w:b/>
          <w:spacing w:val="18"/>
          <w:sz w:val="22"/>
        </w:rPr>
        <w:t> </w:t>
      </w:r>
      <w:r>
        <w:rPr>
          <w:rFonts w:ascii="Times New Roman" w:hAnsi="Times New Roman"/>
          <w:sz w:val="22"/>
        </w:rPr>
        <w:t>EX-2020-91370036-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-APN-DAJ#INAES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Prórroga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para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presentación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los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Informes</w:t>
      </w:r>
      <w:r>
        <w:rPr>
          <w:rFonts w:ascii="Times New Roman" w:hAnsi="Times New Roman"/>
          <w:spacing w:val="-52"/>
          <w:sz w:val="22"/>
        </w:rPr>
        <w:t> </w:t>
      </w:r>
      <w:r>
        <w:rPr>
          <w:rFonts w:ascii="Times New Roman" w:hAnsi="Times New Roman"/>
          <w:sz w:val="22"/>
        </w:rPr>
        <w:t>Socioeconómicos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previstos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en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RESFC-2021-189-APN-DI#INAES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before="92"/>
        <w:ind w:left="100"/>
      </w:pPr>
      <w:r>
        <w:rPr/>
        <w:t>VISTO, el Expediente EX-2020-91370036-APN-DAJ#INAES, 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8"/>
        <w:ind w:left="100"/>
      </w:pPr>
      <w:r>
        <w:rPr/>
        <w:t>CONSIDERANDO: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78" w:lineRule="auto" w:before="1"/>
        <w:ind w:left="100" w:right="108"/>
        <w:jc w:val="both"/>
      </w:pPr>
      <w:r>
        <w:rPr/>
        <w:t>Que,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RESFC-2021-189-APN-DI#INAES,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aprobaron</w:t>
      </w:r>
      <w:r>
        <w:rPr>
          <w:spacing w:val="67"/>
        </w:rPr>
        <w:t> </w:t>
      </w:r>
      <w:r>
        <w:rPr/>
        <w:t>los</w:t>
      </w:r>
      <w:r>
        <w:rPr>
          <w:spacing w:val="1"/>
        </w:rPr>
        <w:t> </w:t>
      </w:r>
      <w:r>
        <w:rPr/>
        <w:t>formularios de “Informes Socioeconómicos de Cooperativas y Mutuales” que estas entidades</w:t>
      </w:r>
      <w:r>
        <w:rPr>
          <w:spacing w:val="1"/>
        </w:rPr>
        <w:t> </w:t>
      </w:r>
      <w:r>
        <w:rPr/>
        <w:t>deberán remitir al Instituto Nacional de Asociativismo y Economía Social (I.N.A.E.S.).</w:t>
      </w:r>
    </w:p>
    <w:p>
      <w:pPr>
        <w:pStyle w:val="BodyText"/>
        <w:spacing w:line="278" w:lineRule="auto" w:before="223"/>
        <w:ind w:left="100" w:right="107"/>
        <w:jc w:val="both"/>
      </w:pPr>
      <w:r>
        <w:rPr/>
        <w:t>Que,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4°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citada</w:t>
      </w:r>
      <w:r>
        <w:rPr>
          <w:spacing w:val="1"/>
        </w:rPr>
        <w:t> </w:t>
      </w:r>
      <w:r>
        <w:rPr/>
        <w:t>norma</w:t>
      </w:r>
      <w:r>
        <w:rPr>
          <w:spacing w:val="1"/>
        </w:rPr>
        <w:t> </w:t>
      </w:r>
      <w:r>
        <w:rPr/>
        <w:t>estableció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socioeconómicos reviste el carácter de Declaración Jurada y deberán ser remitidos al I.N.A.E.S.,</w:t>
      </w:r>
      <w:r>
        <w:rPr>
          <w:spacing w:val="-64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Distancia</w:t>
      </w:r>
      <w:r>
        <w:rPr>
          <w:spacing w:val="1"/>
        </w:rPr>
        <w:t> </w:t>
      </w:r>
      <w:r>
        <w:rPr/>
        <w:t>(TAD)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Organismo,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seis</w:t>
      </w:r>
      <w:r>
        <w:rPr>
          <w:spacing w:val="1"/>
        </w:rPr>
        <w:t> </w:t>
      </w:r>
      <w:r>
        <w:rPr/>
        <w:t>(6)</w:t>
      </w:r>
      <w:r>
        <w:rPr>
          <w:spacing w:val="1"/>
        </w:rPr>
        <w:t> </w:t>
      </w:r>
      <w:r>
        <w:rPr/>
        <w:t>meses</w:t>
      </w:r>
      <w:r>
        <w:rPr>
          <w:spacing w:val="1"/>
        </w:rPr>
        <w:t> </w:t>
      </w:r>
      <w:r>
        <w:rPr/>
        <w:t>posteriores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cierre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conforme lo establecido en los artículos 2° y 3 de la presente.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en los fundamentos de la citada norma se dejó sentado, la necesidad de desarrollar los</w:t>
      </w:r>
      <w:r>
        <w:rPr>
          <w:spacing w:val="1"/>
        </w:rPr>
        <w:t> </w:t>
      </w:r>
      <w:r>
        <w:rPr/>
        <w:t>instrumentos de relevamiento, registro, acopio de información, sus análisis y procesamiento, así</w:t>
      </w:r>
      <w:r>
        <w:rPr>
          <w:spacing w:val="1"/>
        </w:rPr>
        <w:t> </w:t>
      </w:r>
      <w:r>
        <w:rPr/>
        <w:t>como los procesos de información, capacitación y apoyo a los responsables de su presentación.</w:t>
      </w:r>
    </w:p>
    <w:p>
      <w:pPr>
        <w:pStyle w:val="BodyText"/>
        <w:spacing w:line="278" w:lineRule="auto" w:before="224"/>
        <w:ind w:left="100" w:right="105"/>
        <w:jc w:val="both"/>
      </w:pPr>
      <w:r>
        <w:rPr/>
        <w:t>Que en virtud de ello, se dispuso la articulación con las dependencias de la Administración</w:t>
      </w:r>
      <w:r>
        <w:rPr>
          <w:spacing w:val="1"/>
        </w:rPr>
        <w:t> </w:t>
      </w:r>
      <w:r>
        <w:rPr/>
        <w:t>Pública Nacional con incumbencia en dicha materia.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Que, no habiendo alcanzado certeza suficiente de parte de algunas de ellas, en lo atinente al</w:t>
      </w:r>
      <w:r>
        <w:rPr>
          <w:spacing w:val="1"/>
        </w:rPr>
        <w:t> </w:t>
      </w:r>
      <w:r>
        <w:rPr/>
        <w:t>desarrollo</w:t>
      </w:r>
      <w:r>
        <w:rPr>
          <w:spacing w:val="27"/>
        </w:rPr>
        <w:t> </w:t>
      </w:r>
      <w:r>
        <w:rPr/>
        <w:t>e</w:t>
      </w:r>
      <w:r>
        <w:rPr>
          <w:spacing w:val="28"/>
        </w:rPr>
        <w:t> </w:t>
      </w:r>
      <w:r>
        <w:rPr/>
        <w:t>implementación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dichos</w:t>
      </w:r>
      <w:r>
        <w:rPr>
          <w:spacing w:val="28"/>
        </w:rPr>
        <w:t> </w:t>
      </w:r>
      <w:r>
        <w:rPr/>
        <w:t>trámites,</w:t>
      </w:r>
      <w:r>
        <w:rPr>
          <w:spacing w:val="28"/>
        </w:rPr>
        <w:t> </w:t>
      </w:r>
      <w:r>
        <w:rPr/>
        <w:t>resulta</w:t>
      </w:r>
      <w:r>
        <w:rPr>
          <w:spacing w:val="28"/>
        </w:rPr>
        <w:t> </w:t>
      </w:r>
      <w:r>
        <w:rPr/>
        <w:t>necesario</w:t>
      </w:r>
      <w:r>
        <w:rPr>
          <w:spacing w:val="28"/>
        </w:rPr>
        <w:t> </w:t>
      </w:r>
      <w:r>
        <w:rPr/>
        <w:t>prorrogar</w:t>
      </w:r>
      <w:r>
        <w:rPr>
          <w:spacing w:val="28"/>
        </w:rPr>
        <w:t> </w:t>
      </w:r>
      <w:r>
        <w:rPr/>
        <w:t>el</w:t>
      </w:r>
      <w:r>
        <w:rPr>
          <w:spacing w:val="28"/>
        </w:rPr>
        <w:t> </w:t>
      </w:r>
      <w:r>
        <w:rPr/>
        <w:t>plazo</w:t>
      </w:r>
      <w:r>
        <w:rPr>
          <w:spacing w:val="28"/>
        </w:rPr>
        <w:t> </w:t>
      </w:r>
      <w:r>
        <w:rPr/>
        <w:t>para</w:t>
      </w:r>
      <w:r>
        <w:rPr>
          <w:spacing w:val="28"/>
        </w:rPr>
        <w:t> </w:t>
      </w:r>
      <w:r>
        <w:rPr/>
        <w:t>que</w:t>
      </w:r>
      <w:r>
        <w:rPr>
          <w:spacing w:val="-64"/>
        </w:rPr>
        <w:t> </w:t>
      </w:r>
      <w:r>
        <w:rPr/>
        <w:t>las entidades puedan cumplimentar con la obligación de remisión de la información requerida.</w:t>
      </w:r>
    </w:p>
    <w:p>
      <w:pPr>
        <w:spacing w:after="0" w:line="278" w:lineRule="auto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line="278" w:lineRule="auto" w:before="63"/>
        <w:ind w:left="100" w:right="108"/>
        <w:jc w:val="both"/>
      </w:pPr>
      <w:r>
        <w:rPr/>
        <w:t>Que, de lo contrario, se colocaría a las entidades ante la imposibilidad de dar cumplimiento al</w:t>
      </w:r>
      <w:r>
        <w:rPr>
          <w:spacing w:val="1"/>
        </w:rPr>
        <w:t> </w:t>
      </w:r>
      <w:r>
        <w:rPr/>
        <w:t>proceso de relevamiento censal, sin mediar alternativa alguna.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Que, en razón de ello, resulta necesario incorporar una cláusula transitoria a continuación del</w:t>
      </w:r>
      <w:r>
        <w:rPr>
          <w:spacing w:val="1"/>
        </w:rPr>
        <w:t> </w:t>
      </w:r>
      <w:r>
        <w:rPr/>
        <w:t>artículo 4° de la citada resolución, extendiendo el plazo de vencimiento del deber de remisión de</w:t>
      </w:r>
      <w:r>
        <w:rPr>
          <w:spacing w:val="-64"/>
        </w:rPr>
        <w:t> </w:t>
      </w:r>
      <w:r>
        <w:rPr/>
        <w:t>aquellas entidades cuyos cierres de ejercicios hubieran operado entre los meses de diciembre</w:t>
      </w:r>
      <w:r>
        <w:rPr>
          <w:spacing w:val="1"/>
        </w:rPr>
        <w:t> </w:t>
      </w:r>
      <w:r>
        <w:rPr/>
        <w:t>de 2020 y marzo de 2021, inclusive.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Que, asimismo, resulta necesaria la modificación del artículo 2° de la mencionada resolución,</w:t>
      </w:r>
      <w:r>
        <w:rPr>
          <w:spacing w:val="1"/>
        </w:rPr>
        <w:t> </w:t>
      </w:r>
      <w:r>
        <w:rPr/>
        <w:t>con el objeto de aclarar que el Anexo III se encuentra comprendido como de presentación</w:t>
      </w:r>
      <w:r>
        <w:rPr>
          <w:spacing w:val="1"/>
        </w:rPr>
        <w:t> </w:t>
      </w:r>
      <w:r>
        <w:rPr/>
        <w:t>obligatoria</w:t>
      </w:r>
      <w:r>
        <w:rPr>
          <w:spacing w:val="62"/>
        </w:rPr>
        <w:t> </w:t>
      </w:r>
      <w:r>
        <w:rPr/>
        <w:t>respecto</w:t>
      </w:r>
      <w:r>
        <w:rPr>
          <w:spacing w:val="63"/>
        </w:rPr>
        <w:t> </w:t>
      </w:r>
      <w:r>
        <w:rPr/>
        <w:t>de</w:t>
      </w:r>
      <w:r>
        <w:rPr>
          <w:spacing w:val="63"/>
        </w:rPr>
        <w:t> </w:t>
      </w:r>
      <w:r>
        <w:rPr/>
        <w:t>los</w:t>
      </w:r>
      <w:r>
        <w:rPr>
          <w:spacing w:val="62"/>
        </w:rPr>
        <w:t> </w:t>
      </w:r>
      <w:r>
        <w:rPr/>
        <w:t>ejercicios</w:t>
      </w:r>
      <w:r>
        <w:rPr>
          <w:spacing w:val="63"/>
        </w:rPr>
        <w:t> </w:t>
      </w:r>
      <w:r>
        <w:rPr/>
        <w:t>que</w:t>
      </w:r>
      <w:r>
        <w:rPr>
          <w:spacing w:val="63"/>
        </w:rPr>
        <w:t> </w:t>
      </w:r>
      <w:r>
        <w:rPr/>
        <w:t>se</w:t>
      </w:r>
      <w:r>
        <w:rPr>
          <w:spacing w:val="62"/>
        </w:rPr>
        <w:t> </w:t>
      </w:r>
      <w:r>
        <w:rPr/>
        <w:t>cierren</w:t>
      </w:r>
      <w:r>
        <w:rPr>
          <w:spacing w:val="63"/>
        </w:rPr>
        <w:t> </w:t>
      </w:r>
      <w:r>
        <w:rPr/>
        <w:t>desde</w:t>
      </w:r>
      <w:r>
        <w:rPr>
          <w:spacing w:val="63"/>
        </w:rPr>
        <w:t> </w:t>
      </w:r>
      <w:r>
        <w:rPr/>
        <w:t>el</w:t>
      </w:r>
      <w:r>
        <w:rPr>
          <w:spacing w:val="62"/>
        </w:rPr>
        <w:t> </w:t>
      </w:r>
      <w:r>
        <w:rPr/>
        <w:t>1</w:t>
      </w:r>
      <w:r>
        <w:rPr>
          <w:spacing w:val="63"/>
        </w:rPr>
        <w:t> </w:t>
      </w:r>
      <w:r>
        <w:rPr/>
        <w:t>de</w:t>
      </w:r>
      <w:r>
        <w:rPr>
          <w:spacing w:val="63"/>
        </w:rPr>
        <w:t> </w:t>
      </w:r>
      <w:r>
        <w:rPr/>
        <w:t>diciembre</w:t>
      </w:r>
      <w:r>
        <w:rPr>
          <w:spacing w:val="62"/>
        </w:rPr>
        <w:t> </w:t>
      </w:r>
      <w:r>
        <w:rPr/>
        <w:t>de</w:t>
      </w:r>
      <w:r>
        <w:rPr>
          <w:spacing w:val="63"/>
        </w:rPr>
        <w:t> </w:t>
      </w:r>
      <w:r>
        <w:rPr/>
        <w:t>2021</w:t>
      </w:r>
      <w:r>
        <w:rPr>
          <w:spacing w:val="63"/>
        </w:rPr>
        <w:t> </w:t>
      </w:r>
      <w:r>
        <w:rPr/>
        <w:t>en</w:t>
      </w:r>
      <w:r>
        <w:rPr>
          <w:spacing w:val="-65"/>
        </w:rPr>
        <w:t> </w:t>
      </w:r>
      <w:r>
        <w:rPr/>
        <w:t>adelante,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mutuales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cooperativas,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Cooperativas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el servicio jurídico permanente ha tomado intervención, con carácter previo al dictado del</w:t>
      </w:r>
      <w:r>
        <w:rPr>
          <w:spacing w:val="1"/>
        </w:rPr>
        <w:t> </w:t>
      </w:r>
      <w:r>
        <w:rPr/>
        <w:t>presente acto administrativo.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8"/>
        </w:rPr>
      </w:pPr>
    </w:p>
    <w:p>
      <w:pPr>
        <w:pStyle w:val="BodyText"/>
        <w:spacing w:line="278" w:lineRule="auto"/>
        <w:ind w:left="100" w:right="106"/>
        <w:jc w:val="both"/>
      </w:pPr>
      <w:r>
        <w:rPr/>
        <w:t>Por ello, y en uso de las facultades conferidas por las Leyes N° 19.331, 20.321, 20.337 y los</w:t>
      </w:r>
      <w:r>
        <w:rPr>
          <w:spacing w:val="1"/>
        </w:rPr>
        <w:t> </w:t>
      </w:r>
      <w:r>
        <w:rPr/>
        <w:t>Decretos Nº 420/96 y 721/00,</w:t>
      </w:r>
    </w:p>
    <w:p>
      <w:pPr>
        <w:pStyle w:val="BodyText"/>
        <w:spacing w:before="224"/>
        <w:ind w:left="1244" w:right="1251"/>
        <w:jc w:val="center"/>
      </w:pPr>
      <w:r>
        <w:rPr/>
        <w:t>EL DIRECTORIO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72" w:lineRule="auto"/>
        <w:ind w:left="1244" w:right="1252"/>
        <w:jc w:val="center"/>
      </w:pPr>
      <w:r>
        <w:rPr/>
        <w:t>DEL INSTITUTO NACIONAL DE ASOCIATIVISMO Y ECONOMÍA SOCIAL</w:t>
      </w:r>
      <w:r>
        <w:rPr>
          <w:spacing w:val="-65"/>
        </w:rPr>
        <w:t> </w:t>
      </w:r>
      <w:r>
        <w:rPr/>
        <w:t>RESUELVE:</w:t>
      </w:r>
    </w:p>
    <w:p>
      <w:pPr>
        <w:pStyle w:val="BodyText"/>
        <w:spacing w:line="278" w:lineRule="auto" w:before="2"/>
        <w:ind w:left="100" w:right="106"/>
        <w:jc w:val="both"/>
      </w:pPr>
      <w:r>
        <w:rPr/>
        <w:t>ARTÍCULO</w:t>
      </w:r>
      <w:r>
        <w:rPr>
          <w:spacing w:val="1"/>
        </w:rPr>
        <w:t> </w:t>
      </w:r>
      <w:r>
        <w:rPr/>
        <w:t>1°.-</w:t>
      </w:r>
      <w:r>
        <w:rPr>
          <w:spacing w:val="1"/>
        </w:rPr>
        <w:t> </w:t>
      </w:r>
      <w:r>
        <w:rPr/>
        <w:t>Reemplazase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N.°</w:t>
      </w:r>
      <w:r>
        <w:rPr>
          <w:spacing w:val="1"/>
        </w:rPr>
        <w:t> </w:t>
      </w:r>
      <w:r>
        <w:rPr/>
        <w:t>RESFC-2021-189-APN-</w:t>
      </w:r>
      <w:r>
        <w:rPr>
          <w:spacing w:val="1"/>
        </w:rPr>
        <w:t> </w:t>
      </w:r>
      <w:r>
        <w:rPr/>
        <w:t>DI#INAES por el siguiente:</w:t>
      </w:r>
    </w:p>
    <w:p>
      <w:pPr>
        <w:spacing w:line="278" w:lineRule="auto" w:before="224"/>
        <w:ind w:left="100" w:right="106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“ARTÍCULO 2°</w:t>
      </w:r>
      <w:r>
        <w:rPr>
          <w:rFonts w:ascii="Arial" w:hAnsi="Arial"/>
          <w:i/>
          <w:sz w:val="24"/>
        </w:rPr>
        <w:t>: Las Mutuales y Cooperativas, con excepción de las Cooperativas de Trabajo,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deberán, a partir de los ejercicios cerrados en el mes de diciembre de 2020 inclusive y hasta los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ejercicios</w:t>
      </w:r>
      <w:r>
        <w:rPr>
          <w:rFonts w:ascii="Arial" w:hAnsi="Arial"/>
          <w:i/>
          <w:spacing w:val="40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41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41"/>
          <w:sz w:val="24"/>
        </w:rPr>
        <w:t> </w:t>
      </w:r>
      <w:r>
        <w:rPr>
          <w:rFonts w:ascii="Arial" w:hAnsi="Arial"/>
          <w:i/>
          <w:sz w:val="24"/>
        </w:rPr>
        <w:t>cierren</w:t>
      </w:r>
      <w:r>
        <w:rPr>
          <w:rFonts w:ascii="Arial" w:hAnsi="Arial"/>
          <w:i/>
          <w:spacing w:val="40"/>
          <w:sz w:val="24"/>
        </w:rPr>
        <w:t> </w:t>
      </w:r>
      <w:r>
        <w:rPr>
          <w:rFonts w:ascii="Arial" w:hAnsi="Arial"/>
          <w:i/>
          <w:sz w:val="24"/>
        </w:rPr>
        <w:t>hasta</w:t>
      </w:r>
      <w:r>
        <w:rPr>
          <w:rFonts w:ascii="Arial" w:hAnsi="Arial"/>
          <w:i/>
          <w:spacing w:val="4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41"/>
          <w:sz w:val="24"/>
        </w:rPr>
        <w:t> </w:t>
      </w:r>
      <w:r>
        <w:rPr>
          <w:rFonts w:ascii="Arial" w:hAnsi="Arial"/>
          <w:i/>
          <w:sz w:val="24"/>
        </w:rPr>
        <w:t>30</w:t>
      </w:r>
      <w:r>
        <w:rPr>
          <w:rFonts w:ascii="Arial" w:hAnsi="Arial"/>
          <w:i/>
          <w:spacing w:val="40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41"/>
          <w:sz w:val="24"/>
        </w:rPr>
        <w:t> </w:t>
      </w:r>
      <w:r>
        <w:rPr>
          <w:rFonts w:ascii="Arial" w:hAnsi="Arial"/>
          <w:i/>
          <w:sz w:val="24"/>
        </w:rPr>
        <w:t>noviembre</w:t>
      </w:r>
      <w:r>
        <w:rPr>
          <w:rFonts w:ascii="Arial" w:hAnsi="Arial"/>
          <w:i/>
          <w:spacing w:val="4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40"/>
          <w:sz w:val="24"/>
        </w:rPr>
        <w:t> </w:t>
      </w:r>
      <w:r>
        <w:rPr>
          <w:rFonts w:ascii="Arial" w:hAnsi="Arial"/>
          <w:i/>
          <w:sz w:val="24"/>
        </w:rPr>
        <w:t>2021,</w:t>
      </w:r>
      <w:r>
        <w:rPr>
          <w:rFonts w:ascii="Arial" w:hAnsi="Arial"/>
          <w:i/>
          <w:spacing w:val="41"/>
          <w:sz w:val="24"/>
        </w:rPr>
        <w:t> </w:t>
      </w:r>
      <w:r>
        <w:rPr>
          <w:rFonts w:ascii="Arial" w:hAnsi="Arial"/>
          <w:i/>
          <w:sz w:val="24"/>
        </w:rPr>
        <w:t>cumplir</w:t>
      </w:r>
      <w:r>
        <w:rPr>
          <w:rFonts w:ascii="Arial" w:hAnsi="Arial"/>
          <w:i/>
          <w:spacing w:val="41"/>
          <w:sz w:val="24"/>
        </w:rPr>
        <w:t> </w:t>
      </w:r>
      <w:r>
        <w:rPr>
          <w:rFonts w:ascii="Arial" w:hAnsi="Arial"/>
          <w:i/>
          <w:sz w:val="24"/>
        </w:rPr>
        <w:t>solo</w:t>
      </w:r>
      <w:r>
        <w:rPr>
          <w:rFonts w:ascii="Arial" w:hAnsi="Arial"/>
          <w:i/>
          <w:spacing w:val="40"/>
          <w:sz w:val="24"/>
        </w:rPr>
        <w:t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41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41"/>
          <w:sz w:val="24"/>
        </w:rPr>
        <w:t> </w:t>
      </w:r>
      <w:r>
        <w:rPr>
          <w:rFonts w:ascii="Arial" w:hAnsi="Arial"/>
          <w:i/>
          <w:sz w:val="24"/>
        </w:rPr>
        <w:t>siguientes</w:t>
      </w:r>
      <w:r>
        <w:rPr>
          <w:rFonts w:ascii="Arial" w:hAnsi="Arial"/>
          <w:i/>
          <w:spacing w:val="-65"/>
          <w:sz w:val="24"/>
        </w:rPr>
        <w:t> </w:t>
      </w:r>
      <w:r>
        <w:rPr>
          <w:rFonts w:ascii="Arial" w:hAnsi="Arial"/>
          <w:i/>
          <w:sz w:val="24"/>
        </w:rPr>
        <w:t>ítems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Anexos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II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correspondiente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columna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“Dimensiones”,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presente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Resolución:</w:t>
      </w:r>
    </w:p>
    <w:p>
      <w:pPr>
        <w:pStyle w:val="ListParagraph"/>
        <w:numPr>
          <w:ilvl w:val="0"/>
          <w:numId w:val="1"/>
        </w:numPr>
        <w:tabs>
          <w:tab w:pos="251" w:val="left" w:leader="none"/>
        </w:tabs>
        <w:spacing w:line="240" w:lineRule="auto" w:before="223" w:after="0"/>
        <w:ind w:left="250" w:right="0" w:hanging="151"/>
        <w:jc w:val="left"/>
        <w:rPr>
          <w:i/>
          <w:sz w:val="24"/>
        </w:rPr>
      </w:pPr>
      <w:r>
        <w:rPr>
          <w:i/>
          <w:sz w:val="24"/>
        </w:rPr>
        <w:t>Identificación,</w:t>
      </w:r>
    </w:p>
    <w:p>
      <w:pPr>
        <w:pStyle w:val="BodyText"/>
        <w:spacing w:before="4"/>
        <w:rPr>
          <w:rFonts w:ascii="Arial"/>
          <w:i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51" w:val="left" w:leader="none"/>
        </w:tabs>
        <w:spacing w:line="240" w:lineRule="auto" w:before="0" w:after="0"/>
        <w:ind w:left="250" w:right="0" w:hanging="151"/>
        <w:jc w:val="left"/>
        <w:rPr>
          <w:i/>
          <w:sz w:val="24"/>
        </w:rPr>
      </w:pPr>
      <w:r>
        <w:rPr>
          <w:i/>
          <w:sz w:val="24"/>
        </w:rPr>
        <w:t>Localización y tamaño,</w:t>
      </w:r>
    </w:p>
    <w:p>
      <w:pPr>
        <w:pStyle w:val="BodyText"/>
        <w:spacing w:before="4"/>
        <w:rPr>
          <w:rFonts w:ascii="Arial"/>
          <w:i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51" w:val="left" w:leader="none"/>
        </w:tabs>
        <w:spacing w:line="240" w:lineRule="auto" w:before="0" w:after="0"/>
        <w:ind w:left="250" w:right="0" w:hanging="151"/>
        <w:jc w:val="left"/>
        <w:rPr>
          <w:i/>
          <w:sz w:val="24"/>
        </w:rPr>
      </w:pPr>
      <w:r>
        <w:rPr>
          <w:i/>
          <w:sz w:val="24"/>
        </w:rPr>
        <w:t>Apertura cooperativa/base social,</w:t>
      </w:r>
    </w:p>
    <w:p>
      <w:pPr>
        <w:pStyle w:val="BodyText"/>
        <w:spacing w:before="4"/>
        <w:rPr>
          <w:rFonts w:ascii="Arial"/>
          <w:i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51" w:val="left" w:leader="none"/>
        </w:tabs>
        <w:spacing w:line="240" w:lineRule="auto" w:before="1" w:after="0"/>
        <w:ind w:left="250" w:right="0" w:hanging="151"/>
        <w:jc w:val="left"/>
        <w:rPr>
          <w:i/>
          <w:sz w:val="24"/>
        </w:rPr>
      </w:pPr>
      <w:r>
        <w:rPr>
          <w:i/>
          <w:sz w:val="24"/>
        </w:rPr>
        <w:t>No discriminación,</w:t>
      </w:r>
    </w:p>
    <w:p>
      <w:pPr>
        <w:pStyle w:val="BodyText"/>
        <w:spacing w:before="4"/>
        <w:rPr>
          <w:rFonts w:ascii="Arial"/>
          <w:i/>
          <w:sz w:val="23"/>
        </w:rPr>
      </w:pPr>
    </w:p>
    <w:p>
      <w:pPr>
        <w:spacing w:before="0"/>
        <w:ind w:left="100" w:right="0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•Participación</w:t>
      </w:r>
      <w:r>
        <w:rPr>
          <w:rFonts w:ascii="Arial" w:hAnsi="Arial"/>
          <w:i/>
          <w:spacing w:val="115"/>
          <w:sz w:val="24"/>
        </w:rPr>
        <w:t> </w:t>
      </w:r>
      <w:r>
        <w:rPr>
          <w:rFonts w:ascii="Arial" w:hAnsi="Arial"/>
          <w:i/>
          <w:sz w:val="24"/>
        </w:rPr>
        <w:t>de  </w:t>
      </w:r>
      <w:r>
        <w:rPr>
          <w:rFonts w:ascii="Arial" w:hAnsi="Arial"/>
          <w:i/>
          <w:spacing w:val="47"/>
          <w:sz w:val="24"/>
        </w:rPr>
        <w:t> </w:t>
      </w:r>
      <w:r>
        <w:rPr>
          <w:rFonts w:ascii="Arial" w:hAnsi="Arial"/>
          <w:i/>
          <w:sz w:val="24"/>
        </w:rPr>
        <w:t>los  </w:t>
      </w:r>
      <w:r>
        <w:rPr>
          <w:rFonts w:ascii="Arial" w:hAnsi="Arial"/>
          <w:i/>
          <w:spacing w:val="48"/>
          <w:sz w:val="24"/>
        </w:rPr>
        <w:t> </w:t>
      </w:r>
      <w:r>
        <w:rPr>
          <w:rFonts w:ascii="Arial" w:hAnsi="Arial"/>
          <w:i/>
          <w:sz w:val="24"/>
        </w:rPr>
        <w:t>asociados  </w:t>
      </w:r>
      <w:r>
        <w:rPr>
          <w:rFonts w:ascii="Arial" w:hAnsi="Arial"/>
          <w:i/>
          <w:spacing w:val="48"/>
          <w:sz w:val="24"/>
        </w:rPr>
        <w:t> </w:t>
      </w:r>
      <w:r>
        <w:rPr>
          <w:rFonts w:ascii="Arial" w:hAnsi="Arial"/>
          <w:i/>
          <w:sz w:val="24"/>
        </w:rPr>
        <w:t>en  </w:t>
      </w:r>
      <w:r>
        <w:rPr>
          <w:rFonts w:ascii="Arial" w:hAnsi="Arial"/>
          <w:i/>
          <w:spacing w:val="47"/>
          <w:sz w:val="24"/>
        </w:rPr>
        <w:t> </w:t>
      </w:r>
      <w:r>
        <w:rPr>
          <w:rFonts w:ascii="Arial" w:hAnsi="Arial"/>
          <w:i/>
          <w:sz w:val="24"/>
        </w:rPr>
        <w:t>órganos  </w:t>
      </w:r>
      <w:r>
        <w:rPr>
          <w:rFonts w:ascii="Arial" w:hAnsi="Arial"/>
          <w:i/>
          <w:spacing w:val="48"/>
          <w:sz w:val="24"/>
        </w:rPr>
        <w:t> </w:t>
      </w:r>
      <w:r>
        <w:rPr>
          <w:rFonts w:ascii="Arial" w:hAnsi="Arial"/>
          <w:i/>
          <w:sz w:val="24"/>
        </w:rPr>
        <w:t>de  </w:t>
      </w:r>
      <w:r>
        <w:rPr>
          <w:rFonts w:ascii="Arial" w:hAnsi="Arial"/>
          <w:i/>
          <w:spacing w:val="48"/>
          <w:sz w:val="24"/>
        </w:rPr>
        <w:t> </w:t>
      </w:r>
      <w:r>
        <w:rPr>
          <w:rFonts w:ascii="Arial" w:hAnsi="Arial"/>
          <w:i/>
          <w:sz w:val="24"/>
        </w:rPr>
        <w:t>gobierno  </w:t>
      </w:r>
      <w:r>
        <w:rPr>
          <w:rFonts w:ascii="Arial" w:hAnsi="Arial"/>
          <w:i/>
          <w:spacing w:val="47"/>
          <w:sz w:val="24"/>
        </w:rPr>
        <w:t> </w:t>
      </w:r>
      <w:r>
        <w:rPr>
          <w:rFonts w:ascii="Arial" w:hAnsi="Arial"/>
          <w:i/>
          <w:sz w:val="24"/>
        </w:rPr>
        <w:t>(Asamblea,  </w:t>
      </w:r>
      <w:r>
        <w:rPr>
          <w:rFonts w:ascii="Arial" w:hAnsi="Arial"/>
          <w:i/>
          <w:spacing w:val="48"/>
          <w:sz w:val="24"/>
        </w:rPr>
        <w:t> </w:t>
      </w:r>
      <w:r>
        <w:rPr>
          <w:rFonts w:ascii="Arial" w:hAnsi="Arial"/>
          <w:i/>
          <w:sz w:val="24"/>
        </w:rPr>
        <w:t>Consejo  </w:t>
      </w:r>
      <w:r>
        <w:rPr>
          <w:rFonts w:ascii="Arial" w:hAnsi="Arial"/>
          <w:i/>
          <w:spacing w:val="48"/>
          <w:sz w:val="24"/>
        </w:rPr>
        <w:t> </w:t>
      </w:r>
      <w:r>
        <w:rPr>
          <w:rFonts w:ascii="Arial" w:hAnsi="Arial"/>
          <w:i/>
          <w:sz w:val="24"/>
        </w:rPr>
        <w:t>de</w:t>
      </w:r>
    </w:p>
    <w:p>
      <w:pPr>
        <w:spacing w:after="0"/>
        <w:jc w:val="both"/>
        <w:rPr>
          <w:rFonts w:ascii="Arial" w:hAnsi="Arial"/>
          <w:sz w:val="24"/>
        </w:rPr>
        <w:sectPr>
          <w:pgSz w:w="12240" w:h="15840"/>
          <w:pgMar w:top="920" w:bottom="280" w:left="1100" w:right="640"/>
        </w:sectPr>
      </w:pPr>
    </w:p>
    <w:p>
      <w:pPr>
        <w:spacing w:before="63"/>
        <w:ind w:left="100" w:right="0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Administración/Directivo y Sindicatura/Fiscalización),</w:t>
      </w:r>
    </w:p>
    <w:p>
      <w:pPr>
        <w:pStyle w:val="BodyText"/>
        <w:spacing w:before="4"/>
        <w:rPr>
          <w:rFonts w:ascii="Arial"/>
          <w:i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51" w:val="left" w:leader="none"/>
        </w:tabs>
        <w:spacing w:line="240" w:lineRule="auto" w:before="0" w:after="0"/>
        <w:ind w:left="250" w:right="0" w:hanging="151"/>
        <w:jc w:val="left"/>
        <w:rPr>
          <w:i/>
          <w:sz w:val="24"/>
        </w:rPr>
      </w:pPr>
      <w:r>
        <w:rPr>
          <w:i/>
          <w:sz w:val="24"/>
        </w:rPr>
        <w:t>Apertura y movilidad en Órganos de Dirección y Control.</w:t>
      </w:r>
    </w:p>
    <w:p>
      <w:pPr>
        <w:pStyle w:val="BodyText"/>
        <w:spacing w:before="4"/>
        <w:rPr>
          <w:rFonts w:ascii="Arial"/>
          <w:i/>
          <w:sz w:val="23"/>
        </w:rPr>
      </w:pPr>
    </w:p>
    <w:p>
      <w:pPr>
        <w:spacing w:line="278" w:lineRule="auto" w:before="0"/>
        <w:ind w:left="100" w:right="106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 partir de los ejercicios que se cierren desde el 1 de diciembre de 2021, deberán cumplir con la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totalidad de los ítems establecidos en los Anexos I, II y III.”</w:t>
      </w:r>
    </w:p>
    <w:p>
      <w:pPr>
        <w:pStyle w:val="BodyText"/>
        <w:spacing w:line="278" w:lineRule="auto" w:before="225"/>
        <w:ind w:left="100" w:right="106"/>
        <w:jc w:val="both"/>
      </w:pPr>
      <w:r>
        <w:rPr/>
        <w:t>ARTÍCULO</w:t>
      </w:r>
      <w:r>
        <w:rPr>
          <w:spacing w:val="1"/>
        </w:rPr>
        <w:t> </w:t>
      </w:r>
      <w:r>
        <w:rPr/>
        <w:t>2°.-</w:t>
      </w:r>
      <w:r>
        <w:rPr>
          <w:spacing w:val="1"/>
        </w:rPr>
        <w:t> </w:t>
      </w:r>
      <w:r>
        <w:rPr/>
        <w:t>Incorporase a</w:t>
      </w:r>
      <w:r>
        <w:rPr>
          <w:spacing w:val="1"/>
        </w:rPr>
        <w:t> </w:t>
      </w:r>
      <w:r>
        <w:rPr/>
        <w:t>continuación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4°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cláusula</w:t>
      </w:r>
      <w:r>
        <w:rPr>
          <w:spacing w:val="1"/>
        </w:rPr>
        <w:t> </w:t>
      </w:r>
      <w:r>
        <w:rPr/>
        <w:t>transitoria,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siguiente artículo:</w:t>
      </w:r>
    </w:p>
    <w:p>
      <w:pPr>
        <w:spacing w:line="278" w:lineRule="auto" w:before="224"/>
        <w:ind w:left="100" w:right="106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“Aquellas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Mutuales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Cooperativas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cuyos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ejercicios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hubieran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cerrado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entre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meses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diciembre de 2020 y marzo de 2021, inclusive, podrán dar cumplimiento a la presentación de los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informes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socioeconómicos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previstos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artículos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2°,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hasta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31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octubre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2021,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inclusive.”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ARTÍCULO 3°.- Comuníquese, publíquese, dése a la Dirección Nacional del Registro Oficial y</w:t>
      </w:r>
      <w:r>
        <w:rPr>
          <w:spacing w:val="1"/>
        </w:rPr>
        <w:t> </w:t>
      </w:r>
      <w:r>
        <w:rPr/>
        <w:t>archívese.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after="0"/>
        <w:rPr>
          <w:sz w:val="29"/>
        </w:rPr>
        <w:sectPr>
          <w:pgSz w:w="12240" w:h="15840"/>
          <w:pgMar w:top="920" w:bottom="280" w:left="1100" w:right="6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40" w:right="881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BROWN</w:t>
      </w:r>
      <w:r>
        <w:rPr>
          <w:spacing w:val="7"/>
          <w:sz w:val="11"/>
        </w:rPr>
        <w:t> </w:t>
      </w:r>
      <w:r>
        <w:rPr>
          <w:sz w:val="11"/>
        </w:rPr>
        <w:t>Fabián</w:t>
      </w:r>
      <w:r>
        <w:rPr>
          <w:spacing w:val="8"/>
          <w:sz w:val="11"/>
        </w:rPr>
        <w:t> </w:t>
      </w:r>
      <w:r>
        <w:rPr>
          <w:sz w:val="11"/>
        </w:rPr>
        <w:t>Emilio</w:t>
      </w:r>
      <w:r>
        <w:rPr>
          <w:spacing w:val="7"/>
          <w:sz w:val="11"/>
        </w:rPr>
        <w:t> </w:t>
      </w:r>
      <w:r>
        <w:rPr>
          <w:sz w:val="11"/>
        </w:rPr>
        <w:t>Alfredo</w:t>
      </w:r>
      <w:r>
        <w:rPr>
          <w:spacing w:val="-28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2021.06.28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20:35:04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670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Fabian </w:t>
      </w:r>
      <w:r>
        <w:rPr>
          <w:rFonts w:ascii="Times New Roman"/>
          <w:sz w:val="16"/>
        </w:rPr>
        <w:t>Brown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579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CHMARUK</w:t>
      </w:r>
      <w:r>
        <w:rPr>
          <w:spacing w:val="7"/>
          <w:sz w:val="11"/>
        </w:rPr>
        <w:t> </w:t>
      </w:r>
      <w:r>
        <w:rPr>
          <w:sz w:val="11"/>
        </w:rPr>
        <w:t>María</w:t>
      </w:r>
      <w:r>
        <w:rPr>
          <w:spacing w:val="7"/>
          <w:sz w:val="11"/>
        </w:rPr>
        <w:t> </w:t>
      </w:r>
      <w:r>
        <w:rPr>
          <w:sz w:val="11"/>
        </w:rPr>
        <w:t>Zaida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2021.06.28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21:55:02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3946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Zaida </w:t>
      </w:r>
      <w:r>
        <w:rPr>
          <w:rFonts w:ascii="Times New Roman"/>
          <w:sz w:val="16"/>
        </w:rPr>
        <w:t>Chmaruk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1"/>
        <w:ind w:left="140" w:right="1244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GUARCO</w:t>
      </w:r>
      <w:r>
        <w:rPr>
          <w:spacing w:val="7"/>
          <w:sz w:val="11"/>
        </w:rPr>
        <w:t> </w:t>
      </w:r>
      <w:r>
        <w:rPr>
          <w:sz w:val="11"/>
        </w:rPr>
        <w:t>Ariel</w:t>
      </w:r>
      <w:r>
        <w:rPr>
          <w:spacing w:val="7"/>
          <w:sz w:val="11"/>
        </w:rPr>
        <w:t> </w:t>
      </w:r>
      <w:r>
        <w:rPr>
          <w:sz w:val="11"/>
        </w:rPr>
        <w:t>Enrique</w:t>
      </w:r>
      <w:r>
        <w:rPr>
          <w:spacing w:val="-28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2021.06.29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11:18:49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741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Ariel </w:t>
      </w:r>
      <w:r>
        <w:rPr>
          <w:rFonts w:ascii="Times New Roman"/>
          <w:sz w:val="16"/>
        </w:rPr>
        <w:t>Guarco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1"/>
        <w:ind w:left="140" w:right="2789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MIRAD </w:t>
      </w:r>
      <w:r>
        <w:rPr>
          <w:w w:val="105"/>
          <w:sz w:val="11"/>
        </w:rPr>
        <w:t>Heraldo Nahum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2021.06.29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14:30:54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404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Nahum </w:t>
      </w:r>
      <w:r>
        <w:rPr>
          <w:rFonts w:ascii="Times New Roman"/>
          <w:sz w:val="16"/>
        </w:rPr>
        <w:t>Mirad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spacing w:line="213" w:lineRule="auto" w:before="81"/>
        <w:ind w:left="100" w:right="1232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RUSSO</w:t>
      </w:r>
      <w:r>
        <w:rPr>
          <w:spacing w:val="7"/>
          <w:sz w:val="11"/>
        </w:rPr>
        <w:t> </w:t>
      </w:r>
      <w:r>
        <w:rPr>
          <w:sz w:val="11"/>
        </w:rPr>
        <w:t>Alejandro</w:t>
      </w:r>
      <w:r>
        <w:rPr>
          <w:spacing w:val="7"/>
          <w:sz w:val="11"/>
        </w:rPr>
        <w:t> </w:t>
      </w:r>
      <w:r>
        <w:rPr>
          <w:sz w:val="11"/>
        </w:rPr>
        <w:t>Juan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2021.06.29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15:30:31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251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Alejandro </w:t>
      </w:r>
      <w:r>
        <w:rPr>
          <w:rFonts w:ascii="Times New Roman"/>
          <w:sz w:val="16"/>
        </w:rPr>
        <w:t>Russo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6"/>
        <w:rPr>
          <w:rFonts w:ascii="Times New Roman"/>
          <w:sz w:val="10"/>
        </w:rPr>
      </w:pPr>
      <w:r>
        <w:rPr/>
        <w:br w:type="column"/>
      </w:r>
      <w:r>
        <w:rPr>
          <w:rFonts w:ascii="Times New Roman"/>
          <w:sz w:val="10"/>
        </w:rPr>
      </w:r>
    </w:p>
    <w:p>
      <w:pPr>
        <w:spacing w:line="213" w:lineRule="auto" w:before="0"/>
        <w:ind w:left="100" w:right="2514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6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ROIG</w:t>
      </w:r>
      <w:r>
        <w:rPr>
          <w:spacing w:val="6"/>
          <w:sz w:val="11"/>
        </w:rPr>
        <w:t> </w:t>
      </w:r>
      <w:r>
        <w:rPr>
          <w:sz w:val="11"/>
        </w:rPr>
        <w:t>Alexandre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2021.06.29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16:23:33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334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Alexandre Roig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Presidente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Directorio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INAES</w:t>
      </w:r>
    </w:p>
    <w:p>
      <w:pPr>
        <w:spacing w:line="16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spacing w:line="218" w:lineRule="auto" w:before="161"/>
        <w:ind w:left="2500" w:right="110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Gestion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Documental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Electronica</w:t>
      </w:r>
    </w:p>
    <w:p>
      <w:pPr>
        <w:spacing w:line="117" w:lineRule="exact" w:before="0"/>
        <w:ind w:left="2500" w:right="0" w:firstLine="0"/>
        <w:jc w:val="left"/>
        <w:rPr>
          <w:sz w:val="11"/>
        </w:rPr>
      </w:pPr>
      <w:r>
        <w:rPr>
          <w:w w:val="105"/>
          <w:sz w:val="11"/>
        </w:rPr>
        <w:t>Date: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2021.06.29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16:23:42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-03:00</w:t>
      </w:r>
    </w:p>
    <w:sectPr>
      <w:pgSz w:w="11900" w:h="16840"/>
      <w:pgMar w:top="1000" w:bottom="0" w:left="1140" w:right="740"/>
      <w:cols w:num="2" w:equalWidth="0">
        <w:col w:w="3695" w:space="1705"/>
        <w:col w:w="4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50" w:hanging="151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84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08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2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6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4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28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52" w:hanging="15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50" w:hanging="151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2021-07-02T15:25:17Z</dcterms:created>
  <dcterms:modified xsi:type="dcterms:W3CDTF">2021-07-02T15:25:17Z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LastSaved">
    <vt:filetime>2021-07-02T00:00:00Z</vt:filetime>
  </property>
</Properties>
</file>