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62" w:right="157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62" w:right="157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373" w:firstLine="40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RESFC-2020-146-APN-DI#INAES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Viernes 24 de Abril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268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29.550pt;height:1.5pt;mso-position-horizontal-relative:page;mso-position-vertical-relative:paragraph;z-index:-15728640;mso-wrap-distance-left:0;mso-wrap-distance-right:0" coordorigin="1200,787" coordsize="10591,30">
            <v:shape style="position:absolute;left:1200;top:787;width:10591;height:15" coordorigin="1200,787" coordsize="10591,15" path="m11791,787l1200,787,1208,795,1215,802,11776,802,11783,795,11791,787xe" filled="true" fillcolor="#7f7d78" stroked="false">
              <v:path arrowok="t"/>
              <v:fill type="solid"/>
            </v:shape>
            <v:shape style="position:absolute;left:1200;top:787;width:10591;height:30" coordorigin="1200,787" coordsize="10591,30" path="m11791,787l11783,795,11776,802,1215,802,1208,810,1200,817,11791,817,11791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EX-2019-106988654-APN-PI#INAES – REUNIONES A DISTANCIA ÓRGANOS DIRECTIVOS Y DE CONTROL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>
          <w:b/>
        </w:rPr>
        <w:t>VISTO </w:t>
      </w:r>
      <w:r>
        <w:rPr/>
        <w:t>el EX -2019-106988654-APN-PI#INAES, y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00"/>
        <w:jc w:val="left"/>
        <w:rPr>
          <w:b w:val="0"/>
        </w:rPr>
      </w:pPr>
      <w:r>
        <w:rPr/>
        <w:t>CONSIDERANDO</w:t>
      </w:r>
      <w:r>
        <w:rPr>
          <w:b w:val="0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spacing w:line="278" w:lineRule="auto" w:before="1"/>
        <w:ind w:left="100" w:right="197" w:firstLine="0"/>
        <w:jc w:val="both"/>
        <w:rPr>
          <w:i/>
          <w:sz w:val="24"/>
        </w:rPr>
      </w:pPr>
      <w:r>
        <w:rPr>
          <w:sz w:val="24"/>
        </w:rPr>
        <w:t>Que en las presentes actuaciones se dictó la RESFC-2019-3256-APN-DI#INAES, que en su artículo 4.º establece: "</w:t>
      </w:r>
      <w:r>
        <w:rPr>
          <w:i/>
          <w:sz w:val="24"/>
        </w:rPr>
        <w:t>En las reuniones que se celebren del modo contemplado en el Artículo 1º, </w:t>
      </w:r>
      <w:r>
        <w:rPr>
          <w:i/>
          <w:sz w:val="24"/>
        </w:rPr>
        <w:t>será necesaria, independientemente del quórum para sesionar, la presencia física, en su lugar de realización, de un tercio de los miembros titulares del órgano correspondiente".</w:t>
      </w:r>
    </w:p>
    <w:p>
      <w:pPr>
        <w:pStyle w:val="BodyText"/>
        <w:spacing w:line="278" w:lineRule="auto" w:before="223"/>
        <w:ind w:left="100" w:right="197"/>
        <w:jc w:val="both"/>
      </w:pPr>
      <w:r>
        <w:rPr/>
        <w:t>Que en el marco de la pandemia del COVID-19 que afecta al país y al mundo entero, el PODER EJECUTIVO NACIONAL declaró la emergencia sanitaria y dictó diversas medidas a fin de minimizar su propagación e impacto, entre ellas el </w:t>
      </w:r>
      <w:r>
        <w:rPr>
          <w:i/>
        </w:rPr>
        <w:t>“aislamiento social, preventivo y obligatorio” </w:t>
      </w:r>
      <w:r>
        <w:rPr/>
        <w:t>dispuesto por Decreto de Necesidad y Urgencia (DNU) N° 297 (B.O. 20-3-2020) y a la fecha prorrogado por DNU N° 325/2020 (B.O. 31-3-2020), el cual prohíbe y restringe temporalmente la circulación en la vía pública.</w:t>
      </w:r>
    </w:p>
    <w:p>
      <w:pPr>
        <w:pStyle w:val="BodyText"/>
        <w:spacing w:line="278" w:lineRule="auto" w:before="222"/>
        <w:ind w:left="100" w:right="197"/>
        <w:jc w:val="both"/>
      </w:pPr>
      <w:r>
        <w:rPr/>
        <w:t>Que, en este estado, las entidades mutuales y cooperativas expresaron los impedimentos </w:t>
      </w:r>
      <w:r>
        <w:rPr>
          <w:spacing w:val="-4"/>
        </w:rPr>
        <w:t>para </w:t>
      </w:r>
      <w:r>
        <w:rPr/>
        <w:t>efectuar reuniones presenciales de sus órganos directivos y de control, siendo necesario  y urgente la toma de decisiones en un momento crítico de la economía nacional e internacional.</w:t>
      </w:r>
    </w:p>
    <w:p>
      <w:pPr>
        <w:pStyle w:val="BodyText"/>
        <w:spacing w:line="278" w:lineRule="auto" w:before="224"/>
        <w:ind w:left="100" w:right="197"/>
        <w:jc w:val="both"/>
      </w:pPr>
      <w:r>
        <w:rPr/>
        <w:t>Que, en este excepcional contexto, no resulta posible celebrar reuniones presenciales durante el periodo que rija el “aislamiento social, preventivo y obligatorio”, prevaleciendo las normas de emergencia por ser normas posteriores y de excepción.</w:t>
      </w:r>
    </w:p>
    <w:p>
      <w:pPr>
        <w:pStyle w:val="BodyText"/>
        <w:spacing w:line="278" w:lineRule="auto" w:before="223"/>
        <w:ind w:left="100" w:right="197"/>
        <w:jc w:val="both"/>
      </w:pPr>
      <w:r>
        <w:rPr/>
        <w:t>Que, en el contexto de las restricciones actuales, resulta oportuno permitir que las reuniones </w:t>
      </w:r>
      <w:r>
        <w:rPr>
          <w:spacing w:val="-9"/>
        </w:rPr>
        <w:t>de</w:t>
      </w:r>
      <w:r>
        <w:rPr>
          <w:spacing w:val="48"/>
        </w:rPr>
        <w:t> </w:t>
      </w:r>
      <w:r>
        <w:rPr/>
        <w:t>los órganos directivos y de control puedan cumplirse mediante los medios que permitan </w:t>
      </w:r>
      <w:r>
        <w:rPr>
          <w:spacing w:val="-7"/>
        </w:rPr>
        <w:t>la </w:t>
      </w:r>
      <w:r>
        <w:rPr/>
        <w:t>participación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distancia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totalidad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8"/>
        </w:rPr>
        <w:t> </w:t>
      </w:r>
      <w:r>
        <w:rPr/>
        <w:t>integrantes,</w:t>
      </w:r>
      <w:r>
        <w:rPr>
          <w:spacing w:val="7"/>
        </w:rPr>
        <w:t> </w:t>
      </w:r>
      <w:r>
        <w:rPr/>
        <w:t>mientras</w:t>
      </w:r>
      <w:r>
        <w:rPr>
          <w:spacing w:val="8"/>
        </w:rPr>
        <w:t> </w:t>
      </w:r>
      <w:r>
        <w:rPr/>
        <w:t>dure</w:t>
      </w:r>
      <w:r>
        <w:rPr>
          <w:spacing w:val="8"/>
        </w:rPr>
        <w:t> </w:t>
      </w:r>
      <w:r>
        <w:rPr/>
        <w:t>esta</w:t>
      </w:r>
      <w:r>
        <w:rPr>
          <w:spacing w:val="7"/>
        </w:rPr>
        <w:t> </w:t>
      </w:r>
      <w:r>
        <w:rPr/>
        <w:t>emergencia</w:t>
      </w:r>
    </w:p>
    <w:p>
      <w:pPr>
        <w:spacing w:after="0" w:line="278" w:lineRule="auto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line="472" w:lineRule="auto" w:before="63"/>
        <w:ind w:left="100" w:right="320"/>
        <w:jc w:val="both"/>
      </w:pPr>
      <w:r>
        <w:rPr/>
        <w:t>sanitaria y eximir de la concurrencia física a los integrantes de los órganos directivos y de control. Que el servicio jurídico permanente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00" w:right="198"/>
        <w:jc w:val="both"/>
      </w:pPr>
      <w:r>
        <w:rPr/>
        <w:t>Por ello, y en uso de las facultades conferidas por la Ley Nº 20.337 y los Decretos Nros. 420/1996 y 721/2000, y sus normas modificatorias y complementarias,</w:t>
      </w:r>
    </w:p>
    <w:p>
      <w:pPr>
        <w:pStyle w:val="Heading1"/>
        <w:spacing w:before="224"/>
        <w:ind w:right="1661"/>
      </w:pPr>
      <w:r>
        <w:rPr/>
        <w:t>EL DIRECTORIO DEL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72" w:lineRule="auto" w:before="0"/>
        <w:ind w:left="1562" w:right="1662" w:firstLine="0"/>
        <w:jc w:val="center"/>
        <w:rPr>
          <w:b/>
          <w:sz w:val="24"/>
        </w:rPr>
      </w:pPr>
      <w:r>
        <w:rPr>
          <w:b/>
          <w:sz w:val="24"/>
        </w:rPr>
        <w:t>INSTITUTO NACIONAL DE ASOCIATIVISMO Y ECONOMÍA SOCIAL RESUELVE:</w:t>
      </w:r>
    </w:p>
    <w:p>
      <w:pPr>
        <w:pStyle w:val="BodyText"/>
        <w:spacing w:line="278" w:lineRule="auto" w:before="2"/>
        <w:ind w:left="100" w:right="196"/>
        <w:jc w:val="both"/>
      </w:pPr>
      <w:r>
        <w:rPr>
          <w:b/>
        </w:rPr>
        <w:t>ARTÍCULO 1°</w:t>
      </w:r>
      <w:r>
        <w:rPr/>
        <w:t>.- Durante todo el periodo en que se prohíba, limite o restrinja la libre circulación de las personas en general, como consecuencia del estado de emergencia sanitaria en virtud del Decreto de Necesidad y Urgencia N° 297/2020 y normas sucesivas del Poder Ejecutivo Nacional, las entidades podrán celebrar reuniones a distancia de sus órganos directivos y de control, eximiéndose de la concurrencia física de los integrantes de dichos órganos exigida por la Resolución 3256/2019 de este Instituto.</w:t>
      </w:r>
    </w:p>
    <w:p>
      <w:pPr>
        <w:pStyle w:val="BodyText"/>
        <w:spacing w:line="278" w:lineRule="auto" w:before="222"/>
        <w:ind w:left="100" w:right="198"/>
        <w:jc w:val="both"/>
      </w:pPr>
      <w:r>
        <w:rPr>
          <w:b/>
        </w:rPr>
        <w:t>ARTÍCULO 2°</w:t>
      </w:r>
      <w:r>
        <w:rPr/>
        <w:t>.- La presente Resolución General entrará en vigencia a partir del día siguiente al de su publicación en el Boletín Oficial de la República Argentina.</w:t>
      </w:r>
    </w:p>
    <w:p>
      <w:pPr>
        <w:pStyle w:val="BodyText"/>
        <w:spacing w:line="278" w:lineRule="auto" w:before="224"/>
        <w:ind w:left="100" w:right="197"/>
        <w:jc w:val="both"/>
      </w:pPr>
      <w:r>
        <w:rPr>
          <w:b/>
        </w:rPr>
        <w:t>ARTÍCULO 3°</w:t>
      </w:r>
      <w:r>
        <w:rPr/>
        <w:t>.- 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55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1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2020.04.24 16:40:08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837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2020.04.24 17:04:50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25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2020.04.24 18:20:33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837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2020.04.24 18:39:26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spacing w:line="213" w:lineRule="auto" w:before="81"/>
        <w:ind w:left="100" w:right="752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2020.04.24 19:14:46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2020.04.24 19:15:48 -03:00</w:t>
      </w:r>
    </w:p>
    <w:sectPr>
      <w:pgSz w:w="11900" w:h="16840"/>
      <w:pgMar w:top="100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2020-05-14T19:32:15Z</dcterms:created>
  <dcterms:modified xsi:type="dcterms:W3CDTF">2020-05-14T19:32:15Z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2020-05-14T00:00:00Z</vt:filetime>
  </property>
</Properties>
</file>