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325" w:right="1333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325" w:right="1332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RESFC-2023-2337-APN-DI#INAES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Viernes 9 de Junio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sz w:val="22"/>
        </w:rPr>
        <w:t>EX-2023-33370172-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-APN-MGESYA#INAES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Procedimiento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Gestión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Conflicto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Interés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Procedimiento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Recepción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Gestión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Canal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Ético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line="278" w:lineRule="auto" w:before="92"/>
        <w:ind w:left="100" w:right="106"/>
        <w:jc w:val="both"/>
      </w:pPr>
      <w:r>
        <w:rPr/>
        <w:t>VISTO el EX-2023-33370172- -APN-MGESYA#INAES la Convención Interamericana contra la</w:t>
      </w:r>
      <w:r>
        <w:rPr>
          <w:spacing w:val="1"/>
        </w:rPr>
        <w:t> </w:t>
      </w:r>
      <w:r>
        <w:rPr/>
        <w:t>Corrupción aprobada por la Ley N° 24.759, la Convención de las Naciones Unidas Contra la</w:t>
      </w:r>
      <w:r>
        <w:rPr>
          <w:spacing w:val="1"/>
        </w:rPr>
        <w:t> </w:t>
      </w:r>
      <w:r>
        <w:rPr/>
        <w:t>Corrupción</w:t>
      </w:r>
      <w:r>
        <w:rPr>
          <w:spacing w:val="17"/>
        </w:rPr>
        <w:t> </w:t>
      </w:r>
      <w:r>
        <w:rPr/>
        <w:t>aprobada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Ley</w:t>
      </w:r>
      <w:r>
        <w:rPr>
          <w:spacing w:val="17"/>
        </w:rPr>
        <w:t> </w:t>
      </w:r>
      <w:r>
        <w:rPr/>
        <w:t>N°</w:t>
      </w:r>
      <w:r>
        <w:rPr>
          <w:spacing w:val="17"/>
        </w:rPr>
        <w:t> </w:t>
      </w:r>
      <w:r>
        <w:rPr/>
        <w:t>26.097,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Ley</w:t>
      </w:r>
      <w:r>
        <w:rPr>
          <w:spacing w:val="17"/>
        </w:rPr>
        <w:t> </w:t>
      </w:r>
      <w:r>
        <w:rPr/>
        <w:t>N°</w:t>
      </w:r>
      <w:r>
        <w:rPr>
          <w:spacing w:val="17"/>
        </w:rPr>
        <w:t> </w:t>
      </w:r>
      <w:r>
        <w:rPr/>
        <w:t>19.331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creación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Instituto</w:t>
      </w:r>
      <w:r>
        <w:rPr>
          <w:spacing w:val="17"/>
        </w:rPr>
        <w:t> </w:t>
      </w:r>
      <w:r>
        <w:rPr/>
        <w:t>Nacional</w:t>
      </w:r>
      <w:r>
        <w:rPr>
          <w:spacing w:val="-65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Mutual,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20.321,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Cooperativas N° 20.337, la Ley de Ética en el Ejercicio de la Función Pública Nº 25.188 y sus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modificatorias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complementarias,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Información</w:t>
      </w:r>
      <w:r>
        <w:rPr>
          <w:spacing w:val="-64"/>
        </w:rPr>
        <w:t> </w:t>
      </w:r>
      <w:r>
        <w:rPr/>
        <w:t>Pública</w:t>
      </w:r>
      <w:r>
        <w:rPr>
          <w:spacing w:val="31"/>
        </w:rPr>
        <w:t> </w:t>
      </w:r>
      <w:r>
        <w:rPr/>
        <w:t>N°</w:t>
      </w:r>
      <w:r>
        <w:rPr>
          <w:spacing w:val="31"/>
        </w:rPr>
        <w:t> </w:t>
      </w:r>
      <w:r>
        <w:rPr/>
        <w:t>27.275,</w:t>
      </w:r>
      <w:r>
        <w:rPr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/>
        <w:t>Decretos</w:t>
      </w:r>
      <w:r>
        <w:rPr>
          <w:spacing w:val="31"/>
        </w:rPr>
        <w:t> </w:t>
      </w:r>
      <w:r>
        <w:rPr/>
        <w:t>Nº</w:t>
      </w:r>
      <w:r>
        <w:rPr>
          <w:spacing w:val="32"/>
        </w:rPr>
        <w:t> </w:t>
      </w:r>
      <w:r>
        <w:rPr/>
        <w:t>420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fecha</w:t>
      </w:r>
      <w:r>
        <w:rPr>
          <w:spacing w:val="31"/>
        </w:rPr>
        <w:t> </w:t>
      </w:r>
      <w:r>
        <w:rPr/>
        <w:t>15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abril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1996,</w:t>
      </w:r>
      <w:r>
        <w:rPr>
          <w:spacing w:val="31"/>
        </w:rPr>
        <w:t> </w:t>
      </w:r>
      <w:r>
        <w:rPr/>
        <w:t>Nº</w:t>
      </w:r>
      <w:r>
        <w:rPr>
          <w:spacing w:val="31"/>
        </w:rPr>
        <w:t> </w:t>
      </w:r>
      <w:r>
        <w:rPr/>
        <w:t>41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fecha</w:t>
      </w:r>
      <w:r>
        <w:rPr>
          <w:spacing w:val="32"/>
        </w:rPr>
        <w:t> </w:t>
      </w:r>
      <w:r>
        <w:rPr/>
        <w:t>27</w:t>
      </w:r>
      <w:r>
        <w:rPr>
          <w:spacing w:val="31"/>
        </w:rPr>
        <w:t> </w:t>
      </w:r>
      <w:r>
        <w:rPr/>
        <w:t>de</w:t>
      </w:r>
      <w:r>
        <w:rPr>
          <w:spacing w:val="-64"/>
        </w:rPr>
        <w:t> </w:t>
      </w:r>
      <w:r>
        <w:rPr/>
        <w:t>enero de 1999, Nº 721 de fecha 25 de agosto del 2000, Nº 1192/02 de fecha 5 de julio de 2002,</w:t>
      </w:r>
      <w:r>
        <w:rPr>
          <w:spacing w:val="1"/>
        </w:rPr>
        <w:t> </w:t>
      </w:r>
      <w:r>
        <w:rPr/>
        <w:t>las</w:t>
      </w:r>
      <w:r>
        <w:rPr>
          <w:spacing w:val="18"/>
        </w:rPr>
        <w:t> </w:t>
      </w:r>
      <w:r>
        <w:rPr/>
        <w:t>Decisiones</w:t>
      </w:r>
      <w:r>
        <w:rPr>
          <w:spacing w:val="18"/>
        </w:rPr>
        <w:t> </w:t>
      </w:r>
      <w:r>
        <w:rPr/>
        <w:t>Administrativas</w:t>
      </w:r>
      <w:r>
        <w:rPr>
          <w:spacing w:val="18"/>
        </w:rPr>
        <w:t> </w:t>
      </w:r>
      <w:r>
        <w:rPr/>
        <w:t>Nº</w:t>
      </w:r>
      <w:r>
        <w:rPr>
          <w:spacing w:val="19"/>
        </w:rPr>
        <w:t> </w:t>
      </w:r>
      <w:r>
        <w:rPr/>
        <w:t>797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fecha</w:t>
      </w:r>
      <w:r>
        <w:rPr>
          <w:spacing w:val="19"/>
        </w:rPr>
        <w:t> </w:t>
      </w:r>
      <w:r>
        <w:rPr/>
        <w:t>17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septiembre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2019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Nº</w:t>
      </w:r>
      <w:r>
        <w:rPr>
          <w:spacing w:val="18"/>
        </w:rPr>
        <w:t> </w:t>
      </w:r>
      <w:r>
        <w:rPr/>
        <w:t>1302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fecha</w:t>
      </w:r>
      <w:r>
        <w:rPr>
          <w:spacing w:val="-65"/>
        </w:rPr>
        <w:t> </w:t>
      </w:r>
      <w:r>
        <w:rPr/>
        <w:t>28 de diciembre de 2022,</w:t>
      </w:r>
      <w:r>
        <w:rPr>
          <w:spacing w:val="1"/>
        </w:rPr>
        <w:t> </w:t>
      </w:r>
      <w:r>
        <w:rPr/>
        <w:t>la Resolución N° 16 de fecha 7 de agosto de 2020 de la OFICINA</w:t>
      </w:r>
      <w:r>
        <w:rPr>
          <w:spacing w:val="1"/>
        </w:rPr>
        <w:t> </w:t>
      </w:r>
      <w:r>
        <w:rPr/>
        <w:t>ANTICORRUPCIÓN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3404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 INAES Nº 1302 y Nº 1308 de fecha 27 de marzo de 2023 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00"/>
        <w:jc w:val="both"/>
      </w:pP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87"/>
        </w:rPr>
        <w:t> </w:t>
      </w:r>
      <w:r>
        <w:rPr/>
        <w:t>INSTITUTO</w:t>
      </w:r>
      <w:r>
        <w:rPr>
          <w:spacing w:val="88"/>
        </w:rPr>
        <w:t> </w:t>
      </w:r>
      <w:r>
        <w:rPr/>
        <w:t>NACIONAL</w:t>
      </w:r>
      <w:r>
        <w:rPr>
          <w:spacing w:val="88"/>
        </w:rPr>
        <w:t> </w:t>
      </w:r>
      <w:r>
        <w:rPr/>
        <w:t>DE</w:t>
      </w:r>
      <w:r>
        <w:rPr>
          <w:spacing w:val="87"/>
        </w:rPr>
        <w:t> </w:t>
      </w:r>
      <w:r>
        <w:rPr/>
        <w:t>ASOCIATIVISMO</w:t>
      </w:r>
      <w:r>
        <w:rPr>
          <w:spacing w:val="88"/>
        </w:rPr>
        <w:t> </w:t>
      </w:r>
      <w:r>
        <w:rPr/>
        <w:t>Y</w:t>
      </w:r>
      <w:r>
        <w:rPr>
          <w:spacing w:val="88"/>
        </w:rPr>
        <w:t> </w:t>
      </w:r>
      <w:r>
        <w:rPr/>
        <w:t>ECONOMÍA</w:t>
      </w:r>
      <w:r>
        <w:rPr>
          <w:spacing w:val="87"/>
        </w:rPr>
        <w:t> </w:t>
      </w:r>
      <w:r>
        <w:rPr/>
        <w:t>SOCIAL,</w:t>
      </w:r>
      <w:r>
        <w:rPr>
          <w:spacing w:val="88"/>
        </w:rPr>
        <w:t> </w:t>
      </w:r>
      <w:r>
        <w:rPr/>
        <w:t>organismo</w:t>
      </w:r>
    </w:p>
    <w:p>
      <w:pPr>
        <w:pStyle w:val="BodyText"/>
        <w:spacing w:line="278" w:lineRule="auto" w:before="43"/>
        <w:ind w:left="100" w:right="105"/>
        <w:jc w:val="both"/>
      </w:pPr>
      <w:r>
        <w:rPr/>
        <w:t>descentralizado de la JEFATURA DE GABINETE DE MINISTROS, es la autoridad de aplicación</w:t>
      </w:r>
      <w:r>
        <w:rPr>
          <w:spacing w:val="-64"/>
        </w:rPr>
        <w:t> </w:t>
      </w:r>
      <w:r>
        <w:rPr/>
        <w:t>del régimen legal aplicable a mutuales y cooperativas, en los términos contemplados en las</w:t>
      </w:r>
      <w:r>
        <w:rPr>
          <w:spacing w:val="1"/>
        </w:rPr>
        <w:t> </w:t>
      </w:r>
      <w:r>
        <w:rPr/>
        <w:t>Leyes N° 19.331, 20.321, 20.337, el Decreto N.º 420/96, sus modificatorios y complementarios.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el Decreto N° 721/00 establece entre las funciones y atribuciones del Directorio, la de</w:t>
      </w:r>
      <w:r>
        <w:rPr>
          <w:spacing w:val="1"/>
        </w:rPr>
        <w:t> </w:t>
      </w:r>
      <w:r>
        <w:rPr/>
        <w:t>evaluar periódicamente el cumplimiento de los planes en ejecución, así como las funciones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desarrolle,</w:t>
      </w:r>
      <w:r>
        <w:rPr>
          <w:spacing w:val="1"/>
        </w:rPr>
        <w:t> </w:t>
      </w:r>
      <w:r>
        <w:rPr/>
        <w:t>proponiendo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adaptaciones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 necesarias para un mejor cumplimiento de los objetivos del Instituto.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5"/>
        <w:jc w:val="both"/>
      </w:pPr>
      <w:r>
        <w:rPr/>
        <w:t>Que la Ley N° 25.188 establece un conjunto de deberes, prohibiciones e incompatibilidades</w:t>
      </w:r>
      <w:r>
        <w:rPr>
          <w:spacing w:val="1"/>
        </w:rPr>
        <w:t> </w:t>
      </w:r>
      <w:r>
        <w:rPr/>
        <w:t>aplicables, sin excepción, a todas las personas que se desempeñen en la función pública</w:t>
      </w:r>
      <w:r>
        <w:rPr>
          <w:spacing w:val="1"/>
        </w:rPr>
        <w:t> </w:t>
      </w:r>
      <w:r>
        <w:rPr/>
        <w:t>cualquiera sea su nivel, jerarquía, modo de ingreso y/o retribución.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62"/>
        </w:rPr>
        <w:t> </w:t>
      </w:r>
      <w:r>
        <w:rPr/>
        <w:t>el</w:t>
      </w:r>
      <w:r>
        <w:rPr>
          <w:spacing w:val="63"/>
        </w:rPr>
        <w:t> </w:t>
      </w:r>
      <w:r>
        <w:rPr/>
        <w:t>Código</w:t>
      </w:r>
      <w:r>
        <w:rPr>
          <w:spacing w:val="63"/>
        </w:rPr>
        <w:t> </w:t>
      </w:r>
      <w:r>
        <w:rPr/>
        <w:t>de</w:t>
      </w:r>
      <w:r>
        <w:rPr>
          <w:spacing w:val="62"/>
        </w:rPr>
        <w:t> </w:t>
      </w:r>
      <w:r>
        <w:rPr/>
        <w:t>Ética</w:t>
      </w:r>
      <w:r>
        <w:rPr>
          <w:spacing w:val="63"/>
        </w:rPr>
        <w:t> </w:t>
      </w:r>
      <w:r>
        <w:rPr/>
        <w:t>Pública</w:t>
      </w:r>
      <w:r>
        <w:rPr>
          <w:spacing w:val="63"/>
        </w:rPr>
        <w:t> </w:t>
      </w:r>
      <w:r>
        <w:rPr/>
        <w:t>aprobado</w:t>
      </w:r>
      <w:r>
        <w:rPr>
          <w:spacing w:val="62"/>
        </w:rPr>
        <w:t> </w:t>
      </w:r>
      <w:r>
        <w:rPr/>
        <w:t>por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Decreto</w:t>
      </w:r>
      <w:r>
        <w:rPr>
          <w:spacing w:val="62"/>
        </w:rPr>
        <w:t> </w:t>
      </w:r>
      <w:r>
        <w:rPr/>
        <w:t>N°</w:t>
      </w:r>
      <w:r>
        <w:rPr>
          <w:spacing w:val="63"/>
        </w:rPr>
        <w:t> </w:t>
      </w:r>
      <w:r>
        <w:rPr/>
        <w:t>41/99</w:t>
      </w:r>
      <w:r>
        <w:rPr>
          <w:spacing w:val="63"/>
        </w:rPr>
        <w:t> </w:t>
      </w:r>
      <w:r>
        <w:rPr/>
        <w:t>define</w:t>
      </w:r>
      <w:r>
        <w:rPr>
          <w:spacing w:val="62"/>
        </w:rPr>
        <w:t> </w:t>
      </w:r>
      <w:r>
        <w:rPr/>
        <w:t>un</w:t>
      </w:r>
      <w:r>
        <w:rPr>
          <w:spacing w:val="63"/>
        </w:rPr>
        <w:t> </w:t>
      </w:r>
      <w:r>
        <w:rPr/>
        <w:t>conjunto</w:t>
      </w:r>
      <w:r>
        <w:rPr>
          <w:spacing w:val="63"/>
        </w:rPr>
        <w:t> </w:t>
      </w:r>
      <w:r>
        <w:rPr/>
        <w:t>de</w:t>
      </w:r>
      <w:r>
        <w:rPr>
          <w:spacing w:val="-65"/>
        </w:rPr>
        <w:t> </w:t>
      </w:r>
      <w:r>
        <w:rPr/>
        <w:t>principios generales y particulares que rigen la actuación de las y los servidores públicos, en</w:t>
      </w:r>
      <w:r>
        <w:rPr>
          <w:spacing w:val="1"/>
        </w:rPr>
        <w:t> </w:t>
      </w:r>
      <w:r>
        <w:rPr/>
        <w:t>todo aquello que no haya sido modificado por la Ley de Ética en el Ejercicio de la 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line="278" w:lineRule="auto" w:before="223"/>
        <w:ind w:left="100" w:right="108"/>
        <w:jc w:val="both"/>
      </w:pPr>
      <w:r>
        <w:rPr/>
        <w:t>Que la ratificación de la CONVENCIÓN INTERAMERICANA CONTRA LA CORRUPCIÓN por</w:t>
      </w:r>
      <w:r>
        <w:rPr>
          <w:spacing w:val="1"/>
        </w:rPr>
        <w:t> </w:t>
      </w:r>
      <w:r>
        <w:rPr/>
        <w:t>Ley</w:t>
      </w:r>
      <w:r>
        <w:rPr>
          <w:spacing w:val="4"/>
        </w:rPr>
        <w:t> </w:t>
      </w:r>
      <w:r>
        <w:rPr/>
        <w:t>N°</w:t>
      </w:r>
      <w:r>
        <w:rPr>
          <w:spacing w:val="4"/>
        </w:rPr>
        <w:t> </w:t>
      </w:r>
      <w:r>
        <w:rPr/>
        <w:t>24.759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CONVENCIÓN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NACIONES</w:t>
      </w:r>
      <w:r>
        <w:rPr>
          <w:spacing w:val="4"/>
        </w:rPr>
        <w:t> </w:t>
      </w:r>
      <w:r>
        <w:rPr/>
        <w:t>UNIDAS</w:t>
      </w:r>
      <w:r>
        <w:rPr>
          <w:spacing w:val="4"/>
        </w:rPr>
        <w:t> </w:t>
      </w:r>
      <w:r>
        <w:rPr/>
        <w:t>CONTRA</w:t>
      </w:r>
      <w:r>
        <w:rPr>
          <w:spacing w:val="4"/>
        </w:rPr>
        <w:t> </w:t>
      </w:r>
      <w:r>
        <w:rPr/>
        <w:t>LA</w:t>
      </w:r>
    </w:p>
    <w:p>
      <w:pPr>
        <w:pStyle w:val="BodyText"/>
        <w:spacing w:line="278" w:lineRule="auto"/>
        <w:ind w:left="100" w:right="107"/>
        <w:jc w:val="both"/>
      </w:pPr>
      <w:r>
        <w:rPr/>
        <w:t>CORRUPCIÓN, por la Ley N° 26.097, implica el compromiso de nuestro país para promover y</w:t>
      </w:r>
      <w:r>
        <w:rPr>
          <w:spacing w:val="1"/>
        </w:rPr>
        <w:t> </w:t>
      </w:r>
      <w:r>
        <w:rPr/>
        <w:t>fortalecer</w:t>
      </w:r>
      <w:r>
        <w:rPr>
          <w:spacing w:val="64"/>
        </w:rPr>
        <w:t> </w:t>
      </w:r>
      <w:r>
        <w:rPr/>
        <w:t>el</w:t>
      </w:r>
      <w:r>
        <w:rPr>
          <w:spacing w:val="64"/>
        </w:rPr>
        <w:t> </w:t>
      </w:r>
      <w:r>
        <w:rPr/>
        <w:t>desarrollo</w:t>
      </w:r>
      <w:r>
        <w:rPr>
          <w:spacing w:val="65"/>
        </w:rPr>
        <w:t> </w:t>
      </w:r>
      <w:r>
        <w:rPr/>
        <w:t>de</w:t>
      </w:r>
      <w:r>
        <w:rPr>
          <w:spacing w:val="64"/>
        </w:rPr>
        <w:t> </w:t>
      </w:r>
      <w:r>
        <w:rPr/>
        <w:t>los</w:t>
      </w:r>
      <w:r>
        <w:rPr>
          <w:spacing w:val="65"/>
        </w:rPr>
        <w:t> </w:t>
      </w:r>
      <w:r>
        <w:rPr/>
        <w:t>mecanismos</w:t>
      </w:r>
      <w:r>
        <w:rPr>
          <w:spacing w:val="64"/>
        </w:rPr>
        <w:t> </w:t>
      </w:r>
      <w:r>
        <w:rPr/>
        <w:t>necesarios</w:t>
      </w:r>
      <w:r>
        <w:rPr>
          <w:spacing w:val="64"/>
        </w:rPr>
        <w:t> </w:t>
      </w:r>
      <w:r>
        <w:rPr/>
        <w:t>para</w:t>
      </w:r>
      <w:r>
        <w:rPr>
          <w:spacing w:val="65"/>
        </w:rPr>
        <w:t> </w:t>
      </w:r>
      <w:r>
        <w:rPr/>
        <w:t>prevenir,</w:t>
      </w:r>
      <w:r>
        <w:rPr>
          <w:spacing w:val="64"/>
        </w:rPr>
        <w:t> </w:t>
      </w:r>
      <w:r>
        <w:rPr/>
        <w:t>detectar,</w:t>
      </w:r>
      <w:r>
        <w:rPr>
          <w:spacing w:val="65"/>
        </w:rPr>
        <w:t> </w:t>
      </w:r>
      <w:r>
        <w:rPr/>
        <w:t>sancionar</w:t>
      </w:r>
      <w:r>
        <w:rPr>
          <w:spacing w:val="64"/>
        </w:rPr>
        <w:t> </w:t>
      </w:r>
      <w:r>
        <w:rPr/>
        <w:t>y</w:t>
      </w:r>
      <w:r>
        <w:rPr>
          <w:spacing w:val="-64"/>
        </w:rPr>
        <w:t> </w:t>
      </w:r>
      <w:r>
        <w:rPr/>
        <w:t>erradicar la corrupción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en el marco de la normativa vigente, el Estado se compromete a promover la integridad y la</w:t>
      </w:r>
      <w:r>
        <w:rPr>
          <w:spacing w:val="-64"/>
        </w:rPr>
        <w:t> </w:t>
      </w:r>
      <w:r>
        <w:rPr/>
        <w:t>responsabilidad de las funcionarias y funcionarios públicos, a la aplicación de códigos de ética</w:t>
      </w:r>
      <w:r>
        <w:rPr>
          <w:spacing w:val="1"/>
        </w:rPr>
        <w:t> </w:t>
      </w:r>
      <w:r>
        <w:rPr/>
        <w:t>para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correcto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debido</w:t>
      </w:r>
      <w:r>
        <w:rPr>
          <w:spacing w:val="19"/>
        </w:rPr>
        <w:t> </w:t>
      </w:r>
      <w:r>
        <w:rPr/>
        <w:t>cumplimiento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sus</w:t>
      </w:r>
      <w:r>
        <w:rPr>
          <w:spacing w:val="18"/>
        </w:rPr>
        <w:t> </w:t>
      </w:r>
      <w:r>
        <w:rPr/>
        <w:t>funciones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instauración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procedimientos</w:t>
      </w:r>
      <w:r>
        <w:rPr>
          <w:spacing w:val="-65"/>
        </w:rPr>
        <w:t> </w:t>
      </w:r>
      <w:r>
        <w:rPr/>
        <w:t>de acceso a la información pública.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3404/2022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“Programa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 del INAES” y se aprobaron sus objetivos a los efectos de promover el uso de</w:t>
      </w:r>
      <w:r>
        <w:rPr>
          <w:spacing w:val="1"/>
        </w:rPr>
        <w:t> </w:t>
      </w:r>
      <w:r>
        <w:rPr/>
        <w:t>buenas prácticas y una cultura de transparencia e integridad en el ámbito del Instituto.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a través de la Resolución INAES N.º 1302/2023 se aprobó la actualización del Código de</w:t>
      </w:r>
      <w:r>
        <w:rPr>
          <w:spacing w:val="1"/>
        </w:rPr>
        <w:t> </w:t>
      </w:r>
      <w:r>
        <w:rPr/>
        <w:t>Ética de este Instituto Nacional y sus Modelos de Cartas de Adhesión.</w:t>
      </w:r>
    </w:p>
    <w:p>
      <w:pPr>
        <w:pStyle w:val="BodyText"/>
        <w:spacing w:line="278" w:lineRule="auto" w:before="225"/>
        <w:ind w:left="100" w:right="106"/>
        <w:jc w:val="both"/>
      </w:pPr>
      <w:r>
        <w:rPr/>
        <w:t>Que por Resolución INAES N.° 1308/2023 se actualizaron las acciones y competencias de la</w:t>
      </w:r>
      <w:r>
        <w:rPr>
          <w:spacing w:val="1"/>
        </w:rPr>
        <w:t> </w:t>
      </w:r>
      <w:r>
        <w:rPr/>
        <w:t>Unidad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Integridad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Transparencia</w:t>
      </w:r>
      <w:r>
        <w:rPr>
          <w:spacing w:val="25"/>
        </w:rPr>
        <w:t> </w:t>
      </w:r>
      <w:r>
        <w:rPr/>
        <w:t>entre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cuales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encuentra</w:t>
      </w:r>
      <w:r>
        <w:rPr>
          <w:spacing w:val="25"/>
        </w:rPr>
        <w:t> </w:t>
      </w:r>
      <w:r>
        <w:rPr/>
        <w:t>administrar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canal</w:t>
      </w:r>
      <w:r>
        <w:rPr>
          <w:spacing w:val="26"/>
        </w:rPr>
        <w:t> </w:t>
      </w:r>
      <w:r>
        <w:rPr/>
        <w:t>ético</w:t>
      </w:r>
      <w:r>
        <w:rPr>
          <w:spacing w:val="-64"/>
        </w:rPr>
        <w:t> </w:t>
      </w:r>
      <w:r>
        <w:rPr/>
        <w:t>del Instituto, recibir, gestionar y derivar las denuncias y consultas que ingresen relacionadas con</w:t>
      </w:r>
      <w:r>
        <w:rPr>
          <w:spacing w:val="-64"/>
        </w:rPr>
        <w:t> </w:t>
      </w:r>
      <w:r>
        <w:rPr/>
        <w:t>la materia de su competencia.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el Decreto N° 202/2017 en materio de conflicto de intereses establece que toda 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licencias,</w:t>
      </w:r>
      <w:r>
        <w:rPr>
          <w:spacing w:val="1"/>
        </w:rPr>
        <w:t> </w:t>
      </w:r>
      <w:r>
        <w:rPr/>
        <w:t>permisos, autorizaciones, habilitaciones o derechos reales sobre un bien de dominio público o</w:t>
      </w:r>
      <w:r>
        <w:rPr>
          <w:spacing w:val="1"/>
        </w:rPr>
        <w:t> </w:t>
      </w:r>
      <w:r>
        <w:rPr/>
        <w:t>privado del Estado debe completar una Declaración Jurada de Intereses.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la Resolución INAES N° 661/2022 aprobó el Reglamento del Directorio en el que se</w:t>
      </w:r>
      <w:r>
        <w:rPr>
          <w:spacing w:val="1"/>
        </w:rPr>
        <w:t> </w:t>
      </w:r>
      <w:r>
        <w:rPr/>
        <w:t>establece que ningún integrante del Directorio podrá participar en la deliberación y/o votar sobre</w:t>
      </w:r>
      <w:r>
        <w:rPr>
          <w:spacing w:val="-64"/>
        </w:rPr>
        <w:t> </w:t>
      </w:r>
      <w:r>
        <w:rPr/>
        <w:t>asuntos en los que pueda tener algún interés y/o vinculación personal y/o institucional.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por lo expuesto, y de acuerdo a las proyecciones elaboradas en la Estrategia Nacional de</w:t>
      </w:r>
      <w:r>
        <w:rPr>
          <w:spacing w:val="1"/>
        </w:rPr>
        <w:t> </w:t>
      </w:r>
      <w:r>
        <w:rPr/>
        <w:t>Integridad, resulta oportuno crear un canal de denuncias específico administrado por la Unidad</w:t>
      </w:r>
      <w:r>
        <w:rPr>
          <w:spacing w:val="1"/>
        </w:rPr>
        <w:t> </w:t>
      </w:r>
      <w:r>
        <w:rPr/>
        <w:t>de Integridad y Transparencia.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Que, asimismo, es necesario complementar el régimen con un procedimiento específico para la</w:t>
      </w:r>
      <w:r>
        <w:rPr>
          <w:spacing w:val="1"/>
        </w:rPr>
        <w:t> </w:t>
      </w:r>
      <w:r>
        <w:rPr/>
        <w:t>gestión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conflictos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interés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definan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sujetos</w:t>
      </w:r>
      <w:r>
        <w:rPr>
          <w:spacing w:val="53"/>
        </w:rPr>
        <w:t> </w:t>
      </w:r>
      <w:r>
        <w:rPr/>
        <w:t>obligados,</w:t>
      </w:r>
      <w:r>
        <w:rPr>
          <w:spacing w:val="52"/>
        </w:rPr>
        <w:t> </w:t>
      </w:r>
      <w:r>
        <w:rPr/>
        <w:t>se</w:t>
      </w:r>
      <w:r>
        <w:rPr>
          <w:spacing w:val="53"/>
        </w:rPr>
        <w:t> </w:t>
      </w:r>
      <w:r>
        <w:rPr/>
        <w:t>apruebe</w:t>
      </w:r>
      <w:r>
        <w:rPr>
          <w:spacing w:val="53"/>
        </w:rPr>
        <w:t> </w:t>
      </w:r>
      <w:r>
        <w:rPr/>
        <w:t>un</w:t>
      </w:r>
      <w:r>
        <w:rPr>
          <w:spacing w:val="-65"/>
        </w:rPr>
        <w:t> </w:t>
      </w:r>
      <w:r>
        <w:rPr/>
        <w:t>modelo de declaración jurada, se establezcan tipos de responsabilidades y pautas de actuación,</w:t>
      </w:r>
      <w:r>
        <w:rPr>
          <w:spacing w:val="-64"/>
        </w:rPr>
        <w:t> </w:t>
      </w:r>
      <w:r>
        <w:rPr/>
        <w:t>de recepción y tratamiento de los casos que pudieran presentarse.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tomado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 de su competencia.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Por ello, y en uso de las facultades conferidas por las Leyes N° 19.331, N° 20.321 y N° 20.337,</w:t>
      </w:r>
      <w:r>
        <w:rPr>
          <w:spacing w:val="1"/>
        </w:rPr>
        <w:t> </w:t>
      </w:r>
      <w:r>
        <w:rPr/>
        <w:t>el Decreto N° 721/00 y la Decisión Administrativa N° 1302/2022,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1"/>
        <w:ind w:left="1325" w:right="1332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325" w:right="1667"/>
        <w:jc w:val="center"/>
      </w:pPr>
      <w:r>
        <w:rPr/>
        <w:t>INSTITUTO NACIONAL DE ASOCIATIVISMO Y ECONOMIA SOCIAL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325" w:right="1399"/>
        <w:jc w:val="center"/>
      </w:pPr>
      <w:r>
        <w:rPr/>
        <w:t>RESUELVE: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ARTÍCULO</w:t>
      </w:r>
      <w:r>
        <w:rPr>
          <w:spacing w:val="19"/>
        </w:rPr>
        <w:t> </w:t>
      </w:r>
      <w:r>
        <w:rPr/>
        <w:t>1.</w:t>
      </w:r>
      <w:r>
        <w:rPr>
          <w:spacing w:val="20"/>
        </w:rPr>
        <w:t> </w:t>
      </w:r>
      <w:r>
        <w:rPr/>
        <w:t>Apruébase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Procedimiento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Gestión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Conflicto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Interés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forma</w:t>
      </w:r>
      <w:r>
        <w:rPr>
          <w:spacing w:val="20"/>
        </w:rPr>
        <w:t> </w:t>
      </w:r>
      <w:r>
        <w:rPr/>
        <w:t>parte</w:t>
      </w:r>
      <w:r>
        <w:rPr>
          <w:spacing w:val="-64"/>
        </w:rPr>
        <w:t> </w:t>
      </w:r>
      <w:r>
        <w:rPr/>
        <w:t>de la presente Resolución como Anexo I identificado como IF-2023-58346325-APN-PI#INAES.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2.- Apruébase el Modelo de Declaración Jurada de Conflicto de Interés que deberán</w:t>
      </w:r>
      <w:r>
        <w:rPr>
          <w:spacing w:val="-64"/>
        </w:rPr>
        <w:t> </w:t>
      </w:r>
      <w:r>
        <w:rPr/>
        <w:t>presentar las personas alcanzadas según el procedimiento establecido en el Art. 1 que forma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identificado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IF-2023-58346004-APN-</w:t>
      </w:r>
      <w:r>
        <w:rPr>
          <w:spacing w:val="-64"/>
        </w:rPr>
        <w:t> </w:t>
      </w:r>
      <w:r>
        <w:rPr/>
        <w:t>PI#INAES.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ARTÍCULO 3.</w:t>
      </w:r>
      <w:r>
        <w:rPr>
          <w:spacing w:val="1"/>
        </w:rPr>
        <w:t> </w:t>
      </w:r>
      <w:r>
        <w:rPr/>
        <w:t>Apruébase el Procedimiento de Recepción y Gestión del Canal Ético que forma</w:t>
      </w:r>
      <w:r>
        <w:rPr>
          <w:spacing w:val="1"/>
        </w:rPr>
        <w:t> </w:t>
      </w:r>
      <w:r>
        <w:rPr/>
        <w:t>parte de la presente Resolución como Anexo III identificado como IF-2023-58345942-APN-</w:t>
      </w:r>
      <w:r>
        <w:rPr>
          <w:spacing w:val="1"/>
        </w:rPr>
        <w:t> </w:t>
      </w:r>
      <w:r>
        <w:rPr/>
        <w:t>PI#INAES.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ARTÍCULO 4. Instrúyase a la Unidad de Integridad y Transparencia a incorporar en el plan de</w:t>
      </w:r>
      <w:r>
        <w:rPr>
          <w:spacing w:val="1"/>
        </w:rPr>
        <w:t> </w:t>
      </w:r>
      <w:r>
        <w:rPr/>
        <w:t>capacitación y sensibilización interno las materias tratadas en la presente Resolución.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</w:t>
      </w:r>
      <w:r>
        <w:rPr>
          <w:spacing w:val="26"/>
        </w:rPr>
        <w:t> </w:t>
      </w:r>
      <w:r>
        <w:rPr/>
        <w:t>5.</w:t>
      </w:r>
      <w:r>
        <w:rPr>
          <w:spacing w:val="27"/>
        </w:rPr>
        <w:t> </w:t>
      </w:r>
      <w:r>
        <w:rPr/>
        <w:t>Instrúyase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Coordinación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Servicios</w:t>
      </w:r>
      <w:r>
        <w:rPr>
          <w:spacing w:val="27"/>
        </w:rPr>
        <w:t> </w:t>
      </w:r>
      <w:r>
        <w:rPr/>
        <w:t>Digitales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Informáticos,</w:t>
      </w:r>
      <w:r>
        <w:rPr>
          <w:spacing w:val="26"/>
        </w:rPr>
        <w:t> </w:t>
      </w:r>
      <w:r>
        <w:rPr/>
        <w:t>dependiente</w:t>
      </w:r>
      <w:r>
        <w:rPr>
          <w:spacing w:val="-64"/>
        </w:rPr>
        <w:t> </w:t>
      </w:r>
      <w:r>
        <w:rPr/>
        <w:t>de la Dirección General Técnico Administrativa para que implemente en la página web del</w:t>
      </w:r>
      <w:r>
        <w:rPr>
          <w:spacing w:val="1"/>
        </w:rPr>
        <w:t> </w:t>
      </w:r>
      <w:r>
        <w:rPr/>
        <w:t>Instituto los formularios necesarios para canalizar las denuncias y consultas que refiere el</w:t>
      </w:r>
      <w:r>
        <w:rPr>
          <w:spacing w:val="1"/>
        </w:rPr>
        <w:t> </w:t>
      </w:r>
      <w:r>
        <w:rPr/>
        <w:t>artículo 3° de la presente.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6. La presente resolución comenzará a regir a partir del día siguiente al de su</w:t>
      </w:r>
      <w:r>
        <w:rPr>
          <w:spacing w:val="1"/>
        </w:rPr>
        <w:t> </w:t>
      </w:r>
      <w:r>
        <w:rPr/>
        <w:t>publicación en el Boletín Oficial.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ARTÍCULO 7. Comuníquese, publíquese, dése a la Dirección Nacional del Registro Oficial y</w:t>
      </w:r>
      <w:r>
        <w:rPr>
          <w:spacing w:val="1"/>
        </w:rPr>
        <w:t> </w:t>
      </w:r>
      <w:r>
        <w:rPr/>
        <w:t>archívese.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1500" w:bottom="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232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2023.06.07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23:23:23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11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430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BROWN </w:t>
      </w:r>
      <w:r>
        <w:rPr>
          <w:w w:val="105"/>
          <w:sz w:val="11"/>
        </w:rPr>
        <w:t>Fabián Emilio Alfredo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2023.06.08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11:15:50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35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232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2023.06.08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15:43:28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8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803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2023.06.08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19:34:18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10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40" w:right="1232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2023.06.08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23:39:03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8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78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2023.06.09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11:36:03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878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848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2023.06.09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11:38:34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918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spacing w:line="218" w:lineRule="auto" w:before="0"/>
        <w:ind w:left="7940" w:right="55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2023.06.09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11:39:03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2240" w:h="15840"/>
      <w:pgMar w:top="740" w:bottom="28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2023-10-11T18:58:51Z</dcterms:created>
  <dcterms:modified xsi:type="dcterms:W3CDTF">2023-10-11T18:58:51Z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2023-10-11T00:00:00Z</vt:filetime>
  </property>
</Properties>
</file>