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8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4436" cy="7772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3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9"/>
        <w:ind w:left="908" w:right="819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República</w:t>
      </w:r>
      <w:r>
        <w:rPr>
          <w:rFonts w:ascii="Times New Roman" w:hAnsi="Times New Roman"/>
          <w:b/>
          <w:spacing w:val="14"/>
          <w:sz w:val="22"/>
        </w:rPr>
        <w:t> </w:t>
      </w:r>
      <w:r>
        <w:rPr>
          <w:rFonts w:ascii="Times New Roman" w:hAnsi="Times New Roman"/>
          <w:b/>
          <w:sz w:val="22"/>
        </w:rPr>
        <w:t>Argentina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z w:val="22"/>
        </w:rPr>
        <w:t>-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z w:val="22"/>
        </w:rPr>
        <w:t>Poder</w:t>
      </w:r>
      <w:r>
        <w:rPr>
          <w:rFonts w:ascii="Times New Roman" w:hAnsi="Times New Roman"/>
          <w:b/>
          <w:spacing w:val="14"/>
          <w:sz w:val="22"/>
        </w:rPr>
        <w:t> </w:t>
      </w:r>
      <w:r>
        <w:rPr>
          <w:rFonts w:ascii="Times New Roman" w:hAnsi="Times New Roman"/>
          <w:b/>
          <w:sz w:val="22"/>
        </w:rPr>
        <w:t>Ejecutivo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Nacional</w:t>
      </w:r>
    </w:p>
    <w:p>
      <w:pPr>
        <w:spacing w:before="39"/>
        <w:ind w:left="908" w:right="819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Año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Grandeza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Argentina</w:t>
      </w:r>
    </w:p>
    <w:p>
      <w:pPr>
        <w:pStyle w:val="BodyText"/>
        <w:spacing w:before="77"/>
        <w:rPr>
          <w:rFonts w:ascii="Times New Roman"/>
          <w:sz w:val="22"/>
        </w:rPr>
      </w:pPr>
    </w:p>
    <w:p>
      <w:pPr>
        <w:spacing w:line="568" w:lineRule="auto" w:before="0"/>
        <w:ind w:left="120" w:right="3133" w:firstLine="387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Resolución firma </w:t>
      </w:r>
      <w:r>
        <w:rPr>
          <w:rFonts w:ascii="Times New Roman" w:hAnsi="Times New Roman"/>
          <w:b/>
          <w:sz w:val="22"/>
        </w:rPr>
        <w:t>conjunta Número:</w:t>
      </w:r>
      <w:r>
        <w:rPr>
          <w:rFonts w:ascii="Times New Roman" w:hAnsi="Times New Roman"/>
          <w:b/>
          <w:spacing w:val="40"/>
          <w:sz w:val="22"/>
        </w:rPr>
        <w:t> </w:t>
      </w:r>
      <w:r>
        <w:rPr>
          <w:rFonts w:ascii="Times New Roman" w:hAnsi="Times New Roman"/>
          <w:sz w:val="22"/>
        </w:rPr>
        <w:t>RESFC-2026-1279-APN-DI#INAES</w:t>
      </w:r>
    </w:p>
    <w:p>
      <w:pPr>
        <w:spacing w:before="37"/>
        <w:ind w:left="0" w:right="67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CIUDAD DE BUENOS </w:t>
      </w:r>
      <w:r>
        <w:rPr>
          <w:rFonts w:ascii="Times New Roman"/>
          <w:spacing w:val="-2"/>
          <w:sz w:val="22"/>
        </w:rPr>
        <w:t>AIRES</w:t>
      </w:r>
    </w:p>
    <w:p>
      <w:pPr>
        <w:spacing w:before="77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Martes 23 de Junio de </w:t>
      </w:r>
      <w:r>
        <w:rPr>
          <w:rFonts w:ascii="Times New Roman"/>
          <w:spacing w:val="-4"/>
          <w:sz w:val="22"/>
        </w:rPr>
        <w:t>2026</w:t>
      </w:r>
    </w:p>
    <w:p>
      <w:pPr>
        <w:pStyle w:val="BodyText"/>
        <w:spacing w:before="84"/>
        <w:rPr>
          <w:rFonts w:ascii="Times New Roman"/>
          <w:sz w:val="22"/>
        </w:rPr>
      </w:pPr>
    </w:p>
    <w:p>
      <w:pPr>
        <w:spacing w:line="276" w:lineRule="auto" w:before="0"/>
        <w:ind w:left="12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Referencia: </w:t>
      </w:r>
      <w:r>
        <w:rPr>
          <w:rFonts w:ascii="Times New Roman" w:hAnsi="Times New Roman"/>
          <w:sz w:val="22"/>
        </w:rPr>
        <w:t>EX-2026-56700103- -APN-CSDI#INAES - Sistema de transmisión web del Servicio de </w:t>
      </w:r>
      <w:r>
        <w:rPr>
          <w:rFonts w:ascii="Times New Roman" w:hAnsi="Times New Roman"/>
          <w:sz w:val="22"/>
        </w:rPr>
        <w:t>Ayuda Económica Mutual.</w:t>
      </w:r>
    </w:p>
    <w:p>
      <w:pPr>
        <w:pStyle w:val="BodyText"/>
        <w:spacing w:before="6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762000</wp:posOffset>
                </wp:positionH>
                <wp:positionV relativeFrom="paragraph">
                  <wp:posOffset>70586</wp:posOffset>
                </wp:positionV>
                <wp:extent cx="6534150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34150" cy="19050"/>
                          <a:chExt cx="653415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34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9525">
                                <a:moveTo>
                                  <a:pt x="6534150" y="0"/>
                                </a:moveTo>
                                <a:lnTo>
                                  <a:pt x="0" y="0"/>
                                </a:lnTo>
                                <a:lnTo>
                                  <a:pt x="4826" y="4699"/>
                                </a:lnTo>
                                <a:lnTo>
                                  <a:pt x="9525" y="9525"/>
                                </a:lnTo>
                                <a:lnTo>
                                  <a:pt x="6524625" y="9525"/>
                                </a:lnTo>
                                <a:lnTo>
                                  <a:pt x="6529451" y="4699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34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19050">
                                <a:moveTo>
                                  <a:pt x="6534150" y="0"/>
                                </a:moveTo>
                                <a:lnTo>
                                  <a:pt x="6529451" y="4699"/>
                                </a:lnTo>
                                <a:lnTo>
                                  <a:pt x="65246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4826" y="14224"/>
                                </a:lnTo>
                                <a:lnTo>
                                  <a:pt x="0" y="19050"/>
                                </a:lnTo>
                                <a:lnTo>
                                  <a:pt x="6534150" y="19050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9525"/>
                                </a:moveTo>
                                <a:lnTo>
                                  <a:pt x="4826" y="4699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4826" y="14224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pt;margin-top:5.558008pt;width:514.5pt;height:1.5pt;mso-position-horizontal-relative:page;mso-position-vertical-relative:paragraph;z-index:-15728640;mso-wrap-distance-left:0;mso-wrap-distance-right:0" id="docshapegroup1" coordorigin="1200,111" coordsize="10290,30">
                <v:shape style="position:absolute;left:1200;top:111;width:10290;height:15" id="docshape2" coordorigin="1200,111" coordsize="10290,15" path="m11490,111l1200,111,1208,119,1215,126,11475,126,11483,119,11490,111xe" filled="true" fillcolor="#7f7d78" stroked="false">
                  <v:path arrowok="t"/>
                  <v:fill type="solid"/>
                </v:shape>
                <v:shape style="position:absolute;left:1200;top:111;width:10290;height:30" id="docshape3" coordorigin="1200,111" coordsize="10290,30" path="m11490,111l11483,119,11475,126,1215,126,1208,134,1200,141,11490,141,11490,111xe" filled="true" fillcolor="#d3d0c7" stroked="false">
                  <v:path arrowok="t"/>
                  <v:fill type="solid"/>
                </v:shape>
                <v:shape style="position:absolute;left:1200;top:111;width:15;height:30" id="docshape4" coordorigin="1200,111" coordsize="15,30" path="m1215,126l1208,119,1200,111,1200,141,1208,134,1215,126xe" filled="true" fillcolor="#7f7d7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5"/>
        <w:rPr>
          <w:rFonts w:ascii="Times New Roman"/>
        </w:rPr>
      </w:pPr>
    </w:p>
    <w:p>
      <w:pPr>
        <w:pStyle w:val="BodyText"/>
        <w:ind w:left="120"/>
      </w:pPr>
      <w:r>
        <w:rPr/>
        <w:t>VISTO, el Expediente N° EX-2026-56700103- -APN-CSDI#INAES, </w:t>
      </w:r>
      <w:r>
        <w:rPr>
          <w:spacing w:val="-10"/>
        </w:rPr>
        <w:t>y</w:t>
      </w:r>
    </w:p>
    <w:p>
      <w:pPr>
        <w:pStyle w:val="BodyText"/>
      </w:pPr>
    </w:p>
    <w:p>
      <w:pPr>
        <w:pStyle w:val="BodyText"/>
        <w:spacing w:before="233"/>
      </w:pPr>
    </w:p>
    <w:p>
      <w:pPr>
        <w:pStyle w:val="BodyText"/>
        <w:spacing w:before="1"/>
        <w:ind w:left="120"/>
      </w:pPr>
      <w:r>
        <w:rPr>
          <w:spacing w:val="-2"/>
        </w:rPr>
        <w:t>CONSIDERANDO:</w:t>
      </w:r>
    </w:p>
    <w:p>
      <w:pPr>
        <w:pStyle w:val="BodyText"/>
        <w:spacing w:before="268"/>
        <w:ind w:left="120"/>
      </w:pPr>
      <w:r>
        <w:rPr/>
        <w:t>Que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INSTITUTO</w:t>
      </w:r>
      <w:r>
        <w:rPr>
          <w:spacing w:val="6"/>
        </w:rPr>
        <w:t> </w:t>
      </w:r>
      <w:r>
        <w:rPr/>
        <w:t>NACIONAL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ASOCIATIVISMO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ECONOMIA</w:t>
      </w:r>
      <w:r>
        <w:rPr>
          <w:spacing w:val="6"/>
        </w:rPr>
        <w:t> </w:t>
      </w:r>
      <w:r>
        <w:rPr/>
        <w:t>SOCIAL</w:t>
      </w:r>
      <w:r>
        <w:rPr>
          <w:spacing w:val="6"/>
        </w:rPr>
        <w:t> </w:t>
      </w:r>
      <w:r>
        <w:rPr/>
        <w:t>es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autoridad</w:t>
      </w:r>
      <w:r>
        <w:rPr>
          <w:spacing w:val="6"/>
        </w:rPr>
        <w:t> </w:t>
      </w:r>
      <w:r>
        <w:rPr>
          <w:spacing w:val="-5"/>
        </w:rPr>
        <w:t>de</w:t>
      </w:r>
    </w:p>
    <w:p>
      <w:pPr>
        <w:pStyle w:val="BodyText"/>
        <w:spacing w:line="278" w:lineRule="auto" w:before="44"/>
        <w:ind w:left="120" w:right="25"/>
        <w:jc w:val="both"/>
      </w:pPr>
      <w:r>
        <w:rPr/>
        <w:t>aplicación del régimen legal aplicable a las mutuales en todo el territorio nacional, </w:t>
      </w:r>
      <w:r>
        <w:rPr/>
        <w:t>de conformidad con lo establecido en la Ley Nº 20.321 - artículo 1º-, y los Decretos Nros. 420/96, 721/00, sus modificatorios y complementarios.</w:t>
      </w:r>
    </w:p>
    <w:p>
      <w:pPr>
        <w:pStyle w:val="BodyText"/>
        <w:spacing w:line="278" w:lineRule="auto" w:before="224"/>
        <w:ind w:left="120" w:right="27"/>
        <w:jc w:val="both"/>
      </w:pPr>
      <w:r>
        <w:rPr/>
        <w:t>Que en tal sentido, la Ley Nº 20.321, en su artículo 1º, establece que las mutuales se rigen </w:t>
      </w:r>
      <w:r>
        <w:rPr/>
        <w:t>por las disposiciones de la citada ley y por las normas que dicte este Organismo.</w:t>
      </w:r>
    </w:p>
    <w:p>
      <w:pPr>
        <w:pStyle w:val="BodyText"/>
        <w:spacing w:line="278" w:lineRule="auto" w:before="223"/>
        <w:ind w:left="120" w:right="25"/>
        <w:jc w:val="both"/>
      </w:pPr>
      <w:r>
        <w:rPr/>
        <w:t>Que el artículo 4° de la Ley N° 20.321 define a las prestaciones mutuales como aquellas que mediante la contribución o ahorro de sus asociados o cualquier otro recurso lícito, tiene por objeto la satisfacción de necesidades de los socios, entre los que enumera a los préstamos, contemplando que los ahorros de los asociados pueden gozar de un beneficio que estimule su capacidad ahorrativa.</w:t>
      </w:r>
    </w:p>
    <w:p>
      <w:pPr>
        <w:pStyle w:val="BodyText"/>
        <w:spacing w:line="278" w:lineRule="auto" w:before="223"/>
        <w:ind w:left="120" w:right="25"/>
        <w:jc w:val="both"/>
      </w:pPr>
      <w:r>
        <w:rPr/>
        <w:t>Que el mencionado servicio, denominado de ayuda económica mutual, ha sido normado por diversas resoluciones, actualmente por la Resolución N° 1418/03, según texto ordenado </w:t>
      </w:r>
      <w:r>
        <w:rPr/>
        <w:t>por Resolución N° 3034/24.</w:t>
      </w:r>
    </w:p>
    <w:p>
      <w:pPr>
        <w:pStyle w:val="BodyText"/>
        <w:spacing w:line="278" w:lineRule="auto" w:before="224"/>
        <w:ind w:left="120" w:right="26"/>
        <w:jc w:val="both"/>
      </w:pPr>
      <w:r>
        <w:rPr/>
        <w:t>Que la mencionada norma establece un régimen informativo, entre los cuáles se encuentra </w:t>
      </w:r>
      <w:r>
        <w:rPr/>
        <w:t>el comprendido en el artículo 17 inciso b), mediante el cual se informa mensualmente al sitio web del</w:t>
      </w:r>
      <w:r>
        <w:rPr>
          <w:spacing w:val="55"/>
        </w:rPr>
        <w:t> </w:t>
      </w:r>
      <w:r>
        <w:rPr/>
        <w:t>INSTITUTO</w:t>
      </w:r>
      <w:r>
        <w:rPr>
          <w:spacing w:val="55"/>
        </w:rPr>
        <w:t> </w:t>
      </w:r>
      <w:r>
        <w:rPr/>
        <w:t>NACIONAL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ASOCIATIVISMO</w:t>
      </w:r>
      <w:r>
        <w:rPr>
          <w:spacing w:val="55"/>
        </w:rPr>
        <w:t> </w:t>
      </w:r>
      <w:r>
        <w:rPr/>
        <w:t>Y</w:t>
      </w:r>
      <w:r>
        <w:rPr>
          <w:spacing w:val="55"/>
        </w:rPr>
        <w:t> </w:t>
      </w:r>
      <w:r>
        <w:rPr/>
        <w:t>ECONOMÍA</w:t>
      </w:r>
      <w:r>
        <w:rPr>
          <w:spacing w:val="55"/>
        </w:rPr>
        <w:t> </w:t>
      </w:r>
      <w:r>
        <w:rPr/>
        <w:t>SOCIAL</w:t>
      </w:r>
      <w:r>
        <w:rPr>
          <w:spacing w:val="55"/>
        </w:rPr>
        <w:t> </w:t>
      </w:r>
      <w:r>
        <w:rPr/>
        <w:t>y</w:t>
      </w:r>
      <w:r>
        <w:rPr>
          <w:spacing w:val="55"/>
        </w:rPr>
        <w:t> </w:t>
      </w:r>
      <w:r>
        <w:rPr/>
        <w:t>al</w:t>
      </w:r>
      <w:r>
        <w:rPr>
          <w:spacing w:val="55"/>
        </w:rPr>
        <w:t> </w:t>
      </w:r>
      <w:r>
        <w:rPr/>
        <w:t>órgano</w:t>
      </w:r>
      <w:r>
        <w:rPr>
          <w:spacing w:val="55"/>
        </w:rPr>
        <w:t> </w:t>
      </w:r>
      <w:r>
        <w:rPr>
          <w:spacing w:val="-2"/>
        </w:rPr>
        <w:t>local</w:t>
      </w:r>
    </w:p>
    <w:p>
      <w:pPr>
        <w:pStyle w:val="BodyText"/>
        <w:spacing w:after="0" w:line="278" w:lineRule="auto"/>
        <w:jc w:val="both"/>
        <w:sectPr>
          <w:type w:val="continuous"/>
          <w:pgSz w:w="12240" w:h="15840"/>
          <w:pgMar w:top="740" w:bottom="280" w:left="1080" w:right="720"/>
        </w:sectPr>
      </w:pPr>
    </w:p>
    <w:p>
      <w:pPr>
        <w:pStyle w:val="BodyText"/>
        <w:spacing w:line="278" w:lineRule="auto" w:before="63"/>
        <w:ind w:left="120" w:right="25"/>
        <w:jc w:val="both"/>
      </w:pPr>
      <w:r>
        <w:rPr/>
        <w:t>competente, correspondiente a la jurisdicción de su domicilio, dentro de los VEINTE (20) </w:t>
      </w:r>
      <w:r>
        <w:rPr/>
        <w:t>días hábiles de cerrado el mes sobre el cumplimiento de las disposiciones de los Artículos 5º, 6º, 9º y </w:t>
      </w:r>
      <w:r>
        <w:rPr>
          <w:spacing w:val="-4"/>
        </w:rPr>
        <w:t>10º.</w:t>
      </w:r>
    </w:p>
    <w:p>
      <w:pPr>
        <w:pStyle w:val="BodyText"/>
        <w:spacing w:line="278" w:lineRule="auto" w:before="224"/>
        <w:ind w:left="120" w:right="26"/>
        <w:jc w:val="both"/>
      </w:pPr>
      <w:r>
        <w:rPr/>
        <w:t>Que se ha advertido que el sistema vigente de transmisión de la citada información presenta problemas de compatibilidad con las versiones actuales de los sistemas operativos, así </w:t>
      </w:r>
      <w:r>
        <w:rPr/>
        <w:t>como con las distintas variantes de software de hojas de cálculo existentes en el mercado, obstaculizando el correcto cumplimiento de las obligaciones informativas en tiempo y forma.</w:t>
      </w:r>
    </w:p>
    <w:p>
      <w:pPr>
        <w:pStyle w:val="BodyText"/>
        <w:spacing w:before="223"/>
        <w:ind w:left="120"/>
        <w:jc w:val="both"/>
      </w:pPr>
      <w:r>
        <w:rPr/>
        <w:t>Que con tal motivo se ha desarrollado un nuevo sistema de transmisión de la citada </w:t>
      </w:r>
      <w:r>
        <w:rPr>
          <w:spacing w:val="-2"/>
        </w:rPr>
        <w:t>información.</w:t>
      </w:r>
    </w:p>
    <w:p>
      <w:pPr>
        <w:pStyle w:val="BodyText"/>
        <w:spacing w:line="278" w:lineRule="auto" w:before="268"/>
        <w:ind w:left="120" w:right="25"/>
        <w:jc w:val="both"/>
      </w:pPr>
      <w:r>
        <w:rPr/>
        <w:t>Que el Decreto Nº 434/16 aprueba el Plan de Modernización del Estado con el objetivo </w:t>
      </w:r>
      <w:r>
        <w:rPr/>
        <w:t>de alcanzar una Administración Pública de eficiencia, eficacia y calidad en la prestación de </w:t>
      </w:r>
      <w:r>
        <w:rPr>
          <w:spacing w:val="-2"/>
        </w:rPr>
        <w:t>servicios.</w:t>
      </w:r>
    </w:p>
    <w:p>
      <w:pPr>
        <w:pStyle w:val="BodyText"/>
        <w:spacing w:line="278" w:lineRule="auto" w:before="224"/>
        <w:ind w:left="120" w:right="25"/>
        <w:jc w:val="both"/>
      </w:pPr>
      <w:r>
        <w:rPr/>
        <w:t>Que la implementación de una nueva plataforma web del servicio de ayuda económica </w:t>
      </w:r>
      <w:r>
        <w:rPr/>
        <w:t>mutual se enmarca en el firme compromiso del INSTITUTO NACIONAL DE ASOCIATIVISMO Y ECONOMIA SOCIAL con la innovación tecnológica, la simplificación registral y la cooperación interna entre sus áreas técnicas, en beneficio del sector mutual y de mejora continua de los servicios que regula y controla este Organismo.</w:t>
      </w:r>
    </w:p>
    <w:p>
      <w:pPr>
        <w:pStyle w:val="BodyText"/>
        <w:spacing w:line="278" w:lineRule="auto" w:before="223"/>
        <w:ind w:left="120" w:right="25"/>
        <w:jc w:val="both"/>
      </w:pPr>
      <w:r>
        <w:rPr/>
        <w:t>Que la Coordinación de Servicios Digitales e Informáticos de la Dirección General Técnico Administrativa, en forma conjunta con la Dirección de Análisis de Servicio de Ahorro y </w:t>
      </w:r>
      <w:r>
        <w:rPr/>
        <w:t>Crédito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Ahorro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Cooperativo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Mutual,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adecuado</w:t>
      </w:r>
      <w:r>
        <w:rPr>
          <w:spacing w:val="-2"/>
        </w:rPr>
        <w:t> </w:t>
      </w:r>
      <w:r>
        <w:rPr/>
        <w:t>los mencionados sistemas a un régimen compatible con los requerimientos establecidos en el Articulo 17º, inciso b) de la Resolución Nº 1418/03,- TO Resolución N° 3034/24-, a través de un trabajo conjunto que posibilitó integrar, desde el inicio, los requerimientos técnicos del sistema con las necesidades operativas y regulatorias propias del régimen informativo del servicio de ayuda económica mutual garantizando la interoperabilidad total del sistema y una transición armónica para las mutuales usuarias.</w:t>
      </w:r>
    </w:p>
    <w:p>
      <w:pPr>
        <w:pStyle w:val="BodyText"/>
        <w:spacing w:line="278" w:lineRule="auto" w:before="221"/>
        <w:ind w:left="120" w:right="25"/>
        <w:jc w:val="both"/>
      </w:pPr>
      <w:r>
        <w:rPr/>
        <w:t>Que la nueva modalidad de presentación que se implementa a través del sistema </w:t>
      </w:r>
      <w:r>
        <w:rPr/>
        <w:t>de</w:t>
      </w:r>
      <w:r>
        <w:rPr>
          <w:spacing w:val="40"/>
        </w:rPr>
        <w:t> </w:t>
      </w:r>
      <w:r>
        <w:rPr/>
        <w:t>transmisión web resulta más segura y simplifica el trámite que las entidades deben realizar ante este Organismo, ofreciendo mayor accesibilidad, eficiencia y seguridad en el momento en que las mutuales realicen sus cargas informativas, redundando en una mejor experiencia de </w:t>
      </w:r>
      <w:r>
        <w:rPr>
          <w:spacing w:val="-2"/>
        </w:rPr>
        <w:t>cumplimiento.</w:t>
      </w:r>
    </w:p>
    <w:p>
      <w:pPr>
        <w:pStyle w:val="BodyText"/>
        <w:spacing w:line="278" w:lineRule="auto" w:before="223"/>
        <w:ind w:left="120" w:right="26"/>
        <w:jc w:val="both"/>
      </w:pPr>
      <w:r>
        <w:rPr/>
        <w:t>Que el diseño de esta actualización se centró en optimizar la experiencia del usuario (UX) </w:t>
      </w:r>
      <w:r>
        <w:rPr/>
        <w:t>– entendida como el modo en que una persona se siente al interactuar con el sistema -, enfocándose en resolver las necesidades de las entidades de forma intuitiva, ágil y sin frustraciones operativas.</w:t>
      </w:r>
    </w:p>
    <w:p>
      <w:pPr>
        <w:pStyle w:val="BodyText"/>
        <w:spacing w:line="278" w:lineRule="auto" w:before="223"/>
        <w:ind w:left="120" w:right="26"/>
        <w:jc w:val="both"/>
      </w:pPr>
      <w:r>
        <w:rPr/>
        <w:t>Que la sustitución del nuevo modo de carga introduce mejoras sustanciales, entre ellas: </w:t>
      </w:r>
      <w:r>
        <w:rPr/>
        <w:t>entorno web</w:t>
      </w:r>
      <w:r>
        <w:rPr>
          <w:spacing w:val="45"/>
        </w:rPr>
        <w:t> </w:t>
      </w:r>
      <w:r>
        <w:rPr/>
        <w:t>centralizado,</w:t>
      </w:r>
      <w:r>
        <w:rPr>
          <w:spacing w:val="45"/>
        </w:rPr>
        <w:t> </w:t>
      </w:r>
      <w:r>
        <w:rPr/>
        <w:t>carga</w:t>
      </w:r>
      <w:r>
        <w:rPr>
          <w:spacing w:val="45"/>
        </w:rPr>
        <w:t> </w:t>
      </w:r>
      <w:r>
        <w:rPr/>
        <w:t>flexible</w:t>
      </w:r>
      <w:r>
        <w:rPr>
          <w:spacing w:val="45"/>
        </w:rPr>
        <w:t> </w:t>
      </w:r>
      <w:r>
        <w:rPr/>
        <w:t>(parcial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total),</w:t>
      </w:r>
      <w:r>
        <w:rPr>
          <w:spacing w:val="45"/>
        </w:rPr>
        <w:t> </w:t>
      </w:r>
      <w:r>
        <w:rPr/>
        <w:t>validaciones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carga</w:t>
      </w:r>
      <w:r>
        <w:rPr>
          <w:spacing w:val="45"/>
        </w:rPr>
        <w:t> </w:t>
      </w:r>
      <w:r>
        <w:rPr/>
        <w:t>y</w:t>
      </w:r>
      <w:r>
        <w:rPr>
          <w:spacing w:val="45"/>
        </w:rPr>
        <w:t> </w:t>
      </w:r>
      <w:r>
        <w:rPr/>
        <w:t>autocompletados</w:t>
      </w:r>
      <w:r>
        <w:rPr>
          <w:spacing w:val="45"/>
        </w:rPr>
        <w:t> </w:t>
      </w:r>
      <w:r>
        <w:rPr>
          <w:spacing w:val="-10"/>
        </w:rPr>
        <w:t>e</w:t>
      </w:r>
    </w:p>
    <w:p>
      <w:pPr>
        <w:pStyle w:val="BodyText"/>
        <w:spacing w:after="0" w:line="278" w:lineRule="auto"/>
        <w:jc w:val="both"/>
        <w:sectPr>
          <w:pgSz w:w="12240" w:h="15840"/>
          <w:pgMar w:top="920" w:bottom="280" w:left="1080" w:right="720"/>
        </w:sectPr>
      </w:pPr>
    </w:p>
    <w:p>
      <w:pPr>
        <w:pStyle w:val="BodyText"/>
        <w:spacing w:before="63"/>
        <w:ind w:left="120"/>
        <w:jc w:val="both"/>
      </w:pPr>
      <w:r>
        <w:rPr/>
        <w:t>interfaz </w:t>
      </w:r>
      <w:r>
        <w:rPr>
          <w:spacing w:val="-2"/>
        </w:rPr>
        <w:t>amigable.</w:t>
      </w:r>
    </w:p>
    <w:p>
      <w:pPr>
        <w:pStyle w:val="BodyText"/>
        <w:spacing w:line="278" w:lineRule="auto" w:before="269"/>
        <w:ind w:left="120" w:right="26"/>
        <w:jc w:val="both"/>
      </w:pPr>
      <w:r>
        <w:rPr/>
        <w:t>Que asimismo permite a las entidades realizar cargas parciales y totales de los </w:t>
      </w:r>
      <w:r>
        <w:rPr/>
        <w:t>datos correspondientes a los Anexos I, II, III, IV, V y VII del régimen informativo del servicio de ayuda económica mutual, salvaguardando los avances de forma segura y reduciendo la carga administrativa derivada de la presentación fragmentada o reiterada de la información.</w:t>
      </w:r>
    </w:p>
    <w:p>
      <w:pPr>
        <w:pStyle w:val="BodyText"/>
        <w:spacing w:line="278" w:lineRule="auto" w:before="223"/>
        <w:ind w:left="120" w:right="25"/>
        <w:jc w:val="both"/>
      </w:pPr>
      <w:r>
        <w:rPr/>
        <w:t>Que la nueva modalidad sustituye por completo el flujo de descarga y carga de archivos externos de planilla de cálculo que las entidades debían gestionar en sus equipos locales, el cual generaba reiterados inconvenientes técnicos vinculados a la compatibilidad con </w:t>
      </w:r>
      <w:r>
        <w:rPr/>
        <w:t>los sistemas</w:t>
      </w:r>
      <w:r>
        <w:rPr>
          <w:spacing w:val="-1"/>
        </w:rPr>
        <w:t> </w:t>
      </w:r>
      <w:r>
        <w:rPr/>
        <w:t>operativos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distintas</w:t>
      </w:r>
      <w:r>
        <w:rPr>
          <w:spacing w:val="-1"/>
        </w:rPr>
        <w:t> </w:t>
      </w:r>
      <w:r>
        <w:rPr/>
        <w:t>variantes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hojas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cálculo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obstaculiza</w:t>
      </w:r>
      <w:r>
        <w:rPr>
          <w:spacing w:val="-1"/>
        </w:rPr>
        <w:t> </w:t>
      </w:r>
      <w:r>
        <w:rPr/>
        <w:t>el cumplimiento tempestivo de las obligaciones informativas.</w:t>
      </w:r>
    </w:p>
    <w:p>
      <w:pPr>
        <w:pStyle w:val="BodyText"/>
        <w:spacing w:line="278" w:lineRule="auto" w:before="223"/>
        <w:ind w:left="120" w:right="27"/>
        <w:jc w:val="both"/>
      </w:pPr>
      <w:r>
        <w:rPr/>
        <w:t>Que en consecuencia corresponde el dictado de una resolución que actualice el modo </w:t>
      </w:r>
      <w:r>
        <w:rPr/>
        <w:t>de transmisión del régimen informativo contemplado en los Anexos previstos en el Articulo 17º, inciso b) de la Resolución Nº 1418/03,- TO Resolución N° 3034/24-.</w:t>
      </w:r>
    </w:p>
    <w:p>
      <w:pPr>
        <w:pStyle w:val="BodyText"/>
        <w:spacing w:line="278" w:lineRule="auto" w:before="223"/>
        <w:ind w:left="120" w:right="25"/>
        <w:jc w:val="both"/>
      </w:pPr>
      <w:r>
        <w:rPr/>
        <w:t>Que el servicio jurídico permanente ha tomado intervención con carácter previo al dictado </w:t>
      </w:r>
      <w:r>
        <w:rPr/>
        <w:t>del presente acto administrativo.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78" w:lineRule="auto"/>
        <w:ind w:left="120" w:right="26"/>
        <w:jc w:val="both"/>
      </w:pPr>
      <w:r>
        <w:rPr/>
        <w:t>Por ello y en uso de las facultades contempladas en la Ley N° 20.321 y en los Decretos N° 420/96, 721/00, 1192/02, sus modificatorios y complementarios.</w:t>
      </w:r>
    </w:p>
    <w:p>
      <w:pPr>
        <w:pStyle w:val="BodyText"/>
        <w:spacing w:before="224"/>
        <w:ind w:left="908" w:right="818"/>
        <w:jc w:val="center"/>
      </w:pPr>
      <w:r>
        <w:rPr/>
        <w:t>EL DIRECTORIO </w:t>
      </w:r>
      <w:r>
        <w:rPr>
          <w:spacing w:val="-5"/>
        </w:rPr>
        <w:t>DEL</w:t>
      </w:r>
    </w:p>
    <w:p>
      <w:pPr>
        <w:pStyle w:val="BodyText"/>
        <w:spacing w:line="472" w:lineRule="auto" w:before="269"/>
        <w:ind w:left="908" w:right="817"/>
        <w:jc w:val="center"/>
      </w:pPr>
      <w:r>
        <w:rPr/>
        <w:t>INSTITUTO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ASOCIATIVISMO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ECONOMIA</w:t>
      </w:r>
      <w:r>
        <w:rPr>
          <w:spacing w:val="-7"/>
        </w:rPr>
        <w:t> </w:t>
      </w:r>
      <w:r>
        <w:rPr/>
        <w:t>SOCIAL </w:t>
      </w:r>
      <w:r>
        <w:rPr>
          <w:spacing w:val="-2"/>
        </w:rPr>
        <w:t>RESUELVE:</w:t>
      </w:r>
    </w:p>
    <w:p>
      <w:pPr>
        <w:pStyle w:val="BodyText"/>
        <w:spacing w:line="278" w:lineRule="auto" w:before="2"/>
        <w:ind w:left="120" w:right="25"/>
        <w:jc w:val="both"/>
      </w:pPr>
      <w:r>
        <w:rPr/>
        <w:t>ARTICULO 1°.- Apruébase el sistema de transmisión web del régimen informativo del servicio</w:t>
      </w:r>
      <w:r>
        <w:rPr>
          <w:spacing w:val="40"/>
        </w:rPr>
        <w:t> </w:t>
      </w:r>
      <w:r>
        <w:rPr/>
        <w:t>de ayuda económica Mutual, establecido en el</w:t>
      </w:r>
      <w:r>
        <w:rPr>
          <w:spacing w:val="40"/>
        </w:rPr>
        <w:t> </w:t>
      </w:r>
      <w:r>
        <w:rPr/>
        <w:t>artículo 17º inciso b) de la Resolución N° 1418/03, - TO Resolución N° 3034/2024-, de conformidad con los parámetros técnicos establecidos por la Coordinación de Servicios Digitales e Informáticos de la Dirección </w:t>
      </w:r>
      <w:r>
        <w:rPr/>
        <w:t>General Técnico Administrativa, de acuerdo al tutorial descripto en el IF-2026-57548748-APN-CSDI#INAES, que como Anexo integra la presente resolución.</w:t>
      </w:r>
    </w:p>
    <w:p>
      <w:pPr>
        <w:pStyle w:val="BodyText"/>
        <w:spacing w:line="278" w:lineRule="auto" w:before="222"/>
        <w:ind w:left="120" w:right="26"/>
        <w:jc w:val="both"/>
      </w:pPr>
      <w:r>
        <w:rPr/>
        <w:t>ARTICULO 2°.- La implementación del sistema web del servicio de ayuda económica </w:t>
      </w:r>
      <w:r>
        <w:rPr/>
        <w:t>mutual entra en vigencia con el régimen informativo del mes de julio de 2026, debiéndose transmitir los períodos adeudados bajo esta nueva modalidad.</w:t>
      </w:r>
    </w:p>
    <w:p>
      <w:pPr>
        <w:pStyle w:val="BodyText"/>
        <w:spacing w:line="278" w:lineRule="auto" w:before="224"/>
        <w:ind w:left="120" w:right="26"/>
        <w:jc w:val="both"/>
      </w:pPr>
      <w:r>
        <w:rPr/>
        <w:t>ARTÍCULO 3°.- Comuníquese, publíquese, dese a la Dirección Nacional del Registro Oficial </w:t>
      </w:r>
      <w:r>
        <w:rPr/>
        <w:t>y </w:t>
      </w:r>
      <w:r>
        <w:rPr>
          <w:spacing w:val="-2"/>
        </w:rPr>
        <w:t>archívese.</w:t>
      </w:r>
    </w:p>
    <w:p>
      <w:pPr>
        <w:pStyle w:val="BodyText"/>
        <w:spacing w:after="0" w:line="278" w:lineRule="auto"/>
        <w:jc w:val="both"/>
        <w:sectPr>
          <w:pgSz w:w="12240" w:h="15840"/>
          <w:pgMar w:top="920" w:bottom="280" w:left="1080" w:right="720"/>
        </w:sectPr>
      </w:pPr>
    </w:p>
    <w:p>
      <w:pPr>
        <w:spacing w:line="213" w:lineRule="auto" w:before="89"/>
        <w:ind w:left="160" w:right="1553" w:firstLine="0"/>
        <w:jc w:val="left"/>
        <w:rPr>
          <w:sz w:val="11"/>
        </w:rPr>
      </w:pPr>
      <w:r>
        <w:rPr>
          <w:sz w:val="11"/>
        </w:rPr>
        <w:t>Digitally signed by CHA Sergio </w:t>
      </w:r>
      <w:r>
        <w:rPr>
          <w:sz w:val="11"/>
        </w:rPr>
        <w:t>Pablo</w:t>
      </w:r>
      <w:r>
        <w:rPr>
          <w:spacing w:val="40"/>
          <w:sz w:val="11"/>
        </w:rPr>
        <w:t> </w:t>
      </w:r>
      <w:r>
        <w:rPr>
          <w:sz w:val="11"/>
        </w:rPr>
        <w:t>Date: 2026.06.23 14:28:56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2143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Sergio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Pablo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Cha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pStyle w:val="BodyText"/>
        <w:spacing w:before="2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213" w:lineRule="auto" w:before="0"/>
        <w:ind w:left="160" w:right="2503" w:firstLine="0"/>
        <w:jc w:val="left"/>
        <w:rPr>
          <w:sz w:val="11"/>
        </w:rPr>
      </w:pPr>
      <w:r>
        <w:rPr>
          <w:sz w:val="11"/>
        </w:rPr>
        <w:t>Digitally signed by FONTENLA Eduardo </w:t>
      </w:r>
      <w:r>
        <w:rPr>
          <w:sz w:val="11"/>
        </w:rPr>
        <w:t>Hector</w:t>
      </w:r>
      <w:r>
        <w:rPr>
          <w:spacing w:val="40"/>
          <w:sz w:val="11"/>
        </w:rPr>
        <w:t> </w:t>
      </w:r>
      <w:r>
        <w:rPr>
          <w:sz w:val="11"/>
        </w:rPr>
        <w:t>Date: 2026.06.23 14:36:39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3108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Eduardo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Hector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Fontenla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pgSz w:w="12240" w:h="15840"/>
          <w:pgMar w:top="1700" w:bottom="0" w:left="1080" w:right="720"/>
          <w:cols w:num="2" w:equalWidth="0">
            <w:col w:w="3755" w:space="1645"/>
            <w:col w:w="504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740" w:bottom="280" w:left="1080" w:right="720"/>
        </w:sectPr>
      </w:pPr>
    </w:p>
    <w:p>
      <w:pPr>
        <w:spacing w:line="213" w:lineRule="auto" w:before="111"/>
        <w:ind w:left="160" w:right="1035" w:firstLine="0"/>
        <w:jc w:val="left"/>
        <w:rPr>
          <w:sz w:val="11"/>
        </w:rPr>
      </w:pPr>
      <w:r>
        <w:rPr>
          <w:sz w:val="11"/>
        </w:rPr>
        <w:t>Digitally signed by MARTINEZ Ramiro </w:t>
      </w:r>
      <w:r>
        <w:rPr>
          <w:sz w:val="11"/>
        </w:rPr>
        <w:t>Emiliano</w:t>
      </w:r>
      <w:r>
        <w:rPr>
          <w:spacing w:val="40"/>
          <w:sz w:val="11"/>
        </w:rPr>
        <w:t> </w:t>
      </w:r>
      <w:r>
        <w:rPr>
          <w:sz w:val="11"/>
        </w:rPr>
        <w:t>Date: 2026.06.23 14:37:34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1553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Ramiro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Emiliano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Martinez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pStyle w:val="BodyText"/>
        <w:spacing w:before="24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213" w:lineRule="auto" w:before="0"/>
        <w:ind w:left="160" w:right="2503" w:firstLine="0"/>
        <w:jc w:val="left"/>
        <w:rPr>
          <w:sz w:val="11"/>
        </w:rPr>
      </w:pPr>
      <w:r>
        <w:rPr>
          <w:sz w:val="11"/>
        </w:rPr>
        <w:t>Digitally signed by ZARATE Norberto </w:t>
      </w:r>
      <w:r>
        <w:rPr>
          <w:sz w:val="11"/>
        </w:rPr>
        <w:t>Pedro</w:t>
      </w:r>
      <w:r>
        <w:rPr>
          <w:spacing w:val="40"/>
          <w:sz w:val="11"/>
        </w:rPr>
        <w:t> </w:t>
      </w:r>
      <w:r>
        <w:rPr>
          <w:sz w:val="11"/>
        </w:rPr>
        <w:t>Date: 2026.06.23 14:41:15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3108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Norberto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Pedro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Zarate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080" w:right="720"/>
          <w:cols w:num="2" w:equalWidth="0">
            <w:col w:w="3755" w:space="1645"/>
            <w:col w:w="504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740" w:bottom="280" w:left="1080" w:right="720"/>
        </w:sectPr>
      </w:pPr>
    </w:p>
    <w:p>
      <w:pPr>
        <w:spacing w:line="213" w:lineRule="auto" w:before="111"/>
        <w:ind w:left="160" w:right="1035" w:firstLine="0"/>
        <w:jc w:val="left"/>
        <w:rPr>
          <w:sz w:val="11"/>
        </w:rPr>
      </w:pPr>
      <w:r>
        <w:rPr>
          <w:sz w:val="11"/>
        </w:rPr>
        <w:t>Digitally signed by DE ARACAMA Nora </w:t>
      </w:r>
      <w:r>
        <w:rPr>
          <w:sz w:val="11"/>
        </w:rPr>
        <w:t>Gabriela</w:t>
      </w:r>
      <w:r>
        <w:rPr>
          <w:spacing w:val="40"/>
          <w:sz w:val="11"/>
        </w:rPr>
        <w:t> </w:t>
      </w:r>
      <w:r>
        <w:rPr>
          <w:sz w:val="11"/>
        </w:rPr>
        <w:t>Date: 2026.06.23 14:45:41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1553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Nora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Gabriela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Aracama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pStyle w:val="BodyText"/>
        <w:spacing w:before="24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213" w:lineRule="auto" w:before="0"/>
        <w:ind w:left="160" w:right="2667" w:firstLine="0"/>
        <w:jc w:val="left"/>
        <w:rPr>
          <w:sz w:val="11"/>
        </w:rPr>
      </w:pPr>
      <w:r>
        <w:rPr>
          <w:sz w:val="11"/>
        </w:rPr>
        <w:t>Digitally signed by CARRIZO Maria </w:t>
      </w:r>
      <w:r>
        <w:rPr>
          <w:sz w:val="11"/>
        </w:rPr>
        <w:t>Soledad</w:t>
      </w:r>
      <w:r>
        <w:rPr>
          <w:spacing w:val="40"/>
          <w:sz w:val="11"/>
        </w:rPr>
        <w:t> </w:t>
      </w:r>
      <w:r>
        <w:rPr>
          <w:sz w:val="11"/>
        </w:rPr>
        <w:t>Date: 2026.06.23 15:03:00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2"/>
        <w:ind w:left="160" w:right="3108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Maria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Soledad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Carrizo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pacing w:val="-2"/>
          <w:sz w:val="16"/>
        </w:rPr>
        <w:t>Vocal</w:t>
      </w:r>
    </w:p>
    <w:p>
      <w:pPr>
        <w:spacing w:line="180" w:lineRule="exact" w:before="0"/>
        <w:ind w:left="16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</w:t>
      </w:r>
      <w:r>
        <w:rPr>
          <w:rFonts w:ascii="Times New Roman"/>
          <w:spacing w:val="-2"/>
          <w:sz w:val="16"/>
        </w:rPr>
        <w:t>INAES</w:t>
      </w:r>
    </w:p>
    <w:p>
      <w:pPr>
        <w:spacing w:line="18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080" w:right="720"/>
          <w:cols w:num="2" w:equalWidth="0">
            <w:col w:w="3755" w:space="1645"/>
            <w:col w:w="5040"/>
          </w:cols>
        </w:sect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spacing w:before="99"/>
        <w:rPr>
          <w:rFonts w:ascii="Times New Roman"/>
          <w:sz w:val="11"/>
        </w:rPr>
      </w:pPr>
    </w:p>
    <w:p>
      <w:pPr>
        <w:spacing w:line="213" w:lineRule="auto" w:before="1"/>
        <w:ind w:left="160" w:right="7836" w:firstLine="0"/>
        <w:jc w:val="left"/>
        <w:rPr>
          <w:sz w:val="11"/>
        </w:rPr>
      </w:pPr>
      <w:r>
        <w:rPr>
          <w:sz w:val="11"/>
        </w:rPr>
        <w:t>Digitally signed by COLLOMB Marcelo </w:t>
      </w:r>
      <w:r>
        <w:rPr>
          <w:sz w:val="11"/>
        </w:rPr>
        <w:t>Oscar</w:t>
      </w:r>
      <w:r>
        <w:rPr>
          <w:spacing w:val="40"/>
          <w:sz w:val="11"/>
        </w:rPr>
        <w:t> </w:t>
      </w:r>
      <w:r>
        <w:rPr>
          <w:sz w:val="11"/>
        </w:rPr>
        <w:t>Date: 2026.06.23 16:59:55 ART</w:t>
      </w:r>
    </w:p>
    <w:p>
      <w:pPr>
        <w:spacing w:line="116" w:lineRule="exact" w:before="0"/>
        <w:ind w:left="16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7"/>
          <w:sz w:val="11"/>
        </w:rPr>
        <w:t> </w:t>
      </w:r>
      <w:r>
        <w:rPr>
          <w:sz w:val="11"/>
        </w:rPr>
        <w:t>Ciudad</w:t>
      </w:r>
      <w:r>
        <w:rPr>
          <w:spacing w:val="7"/>
          <w:sz w:val="11"/>
        </w:rPr>
        <w:t> </w:t>
      </w:r>
      <w:r>
        <w:rPr>
          <w:sz w:val="11"/>
        </w:rPr>
        <w:t>Autónoma</w:t>
      </w:r>
      <w:r>
        <w:rPr>
          <w:spacing w:val="7"/>
          <w:sz w:val="11"/>
        </w:rPr>
        <w:t> </w:t>
      </w:r>
      <w:r>
        <w:rPr>
          <w:sz w:val="11"/>
        </w:rPr>
        <w:t>de</w:t>
      </w:r>
      <w:r>
        <w:rPr>
          <w:spacing w:val="7"/>
          <w:sz w:val="11"/>
        </w:rPr>
        <w:t> </w:t>
      </w:r>
      <w:r>
        <w:rPr>
          <w:sz w:val="11"/>
        </w:rPr>
        <w:t>Buenos</w:t>
      </w:r>
      <w:r>
        <w:rPr>
          <w:spacing w:val="7"/>
          <w:sz w:val="11"/>
        </w:rPr>
        <w:t> </w:t>
      </w:r>
      <w:r>
        <w:rPr>
          <w:spacing w:val="-2"/>
          <w:sz w:val="11"/>
        </w:rPr>
        <w:t>Aires</w:t>
      </w:r>
    </w:p>
    <w:p>
      <w:pPr>
        <w:spacing w:line="261" w:lineRule="auto" w:before="71"/>
        <w:ind w:left="160" w:right="8087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Marcelo Oscar Collomb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z w:val="16"/>
        </w:rPr>
        <w:t>Presidente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del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Directorio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sz w:val="16"/>
        </w:rPr>
        <w:t>Directorio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INAES</w:t>
      </w:r>
    </w:p>
    <w:p>
      <w:pPr>
        <w:spacing w:line="161" w:lineRule="exact" w:before="0"/>
        <w:ind w:left="1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</w:t>
      </w:r>
      <w:r>
        <w:rPr>
          <w:rFonts w:ascii="Times New Roman" w:hAnsi="Times New Roman"/>
          <w:spacing w:val="-2"/>
          <w:sz w:val="16"/>
        </w:rPr>
        <w:t>Social</w:t>
      </w: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spacing w:before="114"/>
        <w:rPr>
          <w:rFonts w:ascii="Times New Roman"/>
          <w:sz w:val="11"/>
        </w:rPr>
      </w:pPr>
    </w:p>
    <w:p>
      <w:pPr>
        <w:spacing w:line="218" w:lineRule="auto" w:before="0"/>
        <w:ind w:left="7960" w:right="0" w:firstLine="0"/>
        <w:jc w:val="left"/>
        <w:rPr>
          <w:sz w:val="11"/>
        </w:rPr>
      </w:pPr>
      <w:r>
        <w:rPr>
          <w:w w:val="105"/>
          <w:sz w:val="11"/>
        </w:rPr>
        <w:t>Digitally</w:t>
      </w:r>
      <w:r>
        <w:rPr>
          <w:spacing w:val="-9"/>
          <w:w w:val="105"/>
          <w:sz w:val="11"/>
        </w:rPr>
        <w:t> </w:t>
      </w:r>
      <w:r>
        <w:rPr>
          <w:w w:val="105"/>
          <w:sz w:val="11"/>
        </w:rPr>
        <w:t>signed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by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GESTION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DOCUMENTAL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ELECTRONICA - GDE</w:t>
      </w:r>
    </w:p>
    <w:p>
      <w:pPr>
        <w:spacing w:line="117" w:lineRule="exact" w:before="0"/>
        <w:ind w:left="7960" w:right="0" w:firstLine="0"/>
        <w:jc w:val="left"/>
        <w:rPr>
          <w:sz w:val="11"/>
        </w:rPr>
      </w:pPr>
      <w:r>
        <w:rPr>
          <w:w w:val="105"/>
          <w:sz w:val="11"/>
        </w:rPr>
        <w:t>Date: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2026.06.23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17:00:00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-</w:t>
      </w:r>
      <w:r>
        <w:rPr>
          <w:spacing w:val="-2"/>
          <w:w w:val="105"/>
          <w:sz w:val="11"/>
        </w:rPr>
        <w:t>03:00</w:t>
      </w:r>
    </w:p>
    <w:sectPr>
      <w:type w:val="continuous"/>
      <w:pgSz w:w="12240" w:h="15840"/>
      <w:pgMar w:top="74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2026-06-24T16:36:09Z</dcterms:created>
  <dcterms:modified xsi:type="dcterms:W3CDTF">2026-06-24T16:36:09Z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LastSaved">
    <vt:filetime>2026-06-24T00:00:00Z</vt:filetime>
  </property>
  <property fmtid="{D5CDD505-2E9C-101B-9397-08002B2CF9AE}" pid="5" name="Producer">
    <vt:lpwstr>iText® 7.1.7 ©2000-2019 iText Group NV (AGPL-version); modified using iText® 7.1.7 ©2000-2019 iText Group NV (AGPL-version)</vt:lpwstr>
  </property>
  <property fmtid="{D5CDD505-2E9C-101B-9397-08002B2CF9AE}" pid="6" name="changed">
    <vt:lpwstr>20100127;11124500</vt:lpwstr>
  </property>
  <property fmtid="{D5CDD505-2E9C-101B-9397-08002B2CF9AE}" pid="7" name="generator">
    <vt:lpwstr>OpenOffice.org 3.1  (Win32)</vt:lpwstr>
  </property>
  <property fmtid="{D5CDD505-2E9C-101B-9397-08002B2CF9AE}" pid="8" name="info 1">
    <vt:lpwstr/>
  </property>
  <property fmtid="{D5CDD505-2E9C-101B-9397-08002B2CF9AE}" pid="9" name="info 2">
    <vt:lpwstr/>
  </property>
  <property fmtid="{D5CDD505-2E9C-101B-9397-08002B2CF9AE}" pid="10" name="info 3">
    <vt:lpwstr/>
  </property>
  <property fmtid="{D5CDD505-2E9C-101B-9397-08002B2CF9AE}" pid="11" name="info 4">
    <vt:lpwstr/>
  </property>
</Properties>
</file>